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74D8" w14:textId="77777777" w:rsidR="002F0357" w:rsidRDefault="002F0357">
      <w:pPr>
        <w:pBdr>
          <w:top w:val="nil"/>
          <w:left w:val="nil"/>
          <w:bottom w:val="nil"/>
          <w:right w:val="nil"/>
          <w:between w:val="nil"/>
        </w:pBdr>
        <w:spacing w:after="120" w:line="276" w:lineRule="auto"/>
        <w:jc w:val="center"/>
        <w:rPr>
          <w:rFonts w:ascii="Arial" w:eastAsia="Arial" w:hAnsi="Arial" w:cs="Arial"/>
          <w:color w:val="000000"/>
        </w:rPr>
      </w:pPr>
    </w:p>
    <w:p w14:paraId="169E7A6F" w14:textId="37D07FD8" w:rsidR="002F0357" w:rsidRDefault="0053024F">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HRP-319 | 03/01/2024</w:t>
      </w:r>
    </w:p>
    <w:p w14:paraId="58CBA075" w14:textId="77777777" w:rsidR="002F0357" w:rsidRDefault="002F0357">
      <w:pPr>
        <w:pBdr>
          <w:top w:val="nil"/>
          <w:left w:val="nil"/>
          <w:bottom w:val="nil"/>
          <w:right w:val="nil"/>
          <w:between w:val="nil"/>
        </w:pBdr>
        <w:spacing w:after="120" w:line="276" w:lineRule="auto"/>
        <w:jc w:val="center"/>
        <w:rPr>
          <w:rFonts w:ascii="Arial" w:eastAsia="Arial" w:hAnsi="Arial" w:cs="Arial"/>
          <w:color w:val="000000"/>
          <w:sz w:val="24"/>
          <w:szCs w:val="24"/>
        </w:rPr>
      </w:pPr>
    </w:p>
    <w:p w14:paraId="16D781D2" w14:textId="77777777" w:rsidR="002F0357" w:rsidRDefault="0053024F">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w:t>
      </w:r>
      <w:r>
        <w:rPr>
          <w:rFonts w:ascii="Arial" w:eastAsia="Arial" w:hAnsi="Arial" w:cs="Arial"/>
          <w:b/>
          <w:color w:val="000000"/>
          <w:sz w:val="24"/>
          <w:szCs w:val="24"/>
        </w:rPr>
        <w:t xml:space="preserve"> </w:t>
      </w:r>
      <w:r>
        <w:rPr>
          <w:rFonts w:ascii="Arial" w:eastAsia="Arial" w:hAnsi="Arial" w:cs="Arial"/>
          <w:b/>
          <w:color w:val="000000"/>
          <w:sz w:val="32"/>
          <w:szCs w:val="32"/>
        </w:rPr>
        <w:t>Limited IRB Review</w:t>
      </w:r>
    </w:p>
    <w:p w14:paraId="649C1C8B" w14:textId="77777777" w:rsidR="002F0357" w:rsidRDefault="0053024F">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purpose of this worksheet is to provide support for IRB members performing limited IRB reviews</w:t>
      </w:r>
      <w:r>
        <w:rPr>
          <w:rFonts w:ascii="Arial" w:eastAsia="Arial" w:hAnsi="Arial" w:cs="Arial"/>
          <w:color w:val="000000"/>
          <w:vertAlign w:val="superscript"/>
        </w:rPr>
        <w:footnoteReference w:id="1"/>
      </w:r>
      <w:r>
        <w:rPr>
          <w:rFonts w:ascii="Arial" w:eastAsia="Arial" w:hAnsi="Arial" w:cs="Arial"/>
          <w:color w:val="000000"/>
        </w:rPr>
        <w:t>. It does not need to be completed or retained. (</w:t>
      </w:r>
      <w:r>
        <w:rPr>
          <w:rFonts w:ascii="Arial" w:eastAsia="Arial" w:hAnsi="Arial" w:cs="Arial"/>
          <w:color w:val="000000"/>
          <w:u w:val="single"/>
        </w:rPr>
        <w:t>LAR</w:t>
      </w:r>
      <w:r>
        <w:rPr>
          <w:rFonts w:ascii="Arial" w:eastAsia="Arial" w:hAnsi="Arial" w:cs="Arial"/>
          <w:color w:val="000000"/>
        </w:rPr>
        <w:t xml:space="preserve"> = “subject’s </w:t>
      </w:r>
      <w:r>
        <w:rPr>
          <w:rFonts w:ascii="Arial" w:eastAsia="Arial" w:hAnsi="Arial" w:cs="Arial"/>
          <w:color w:val="000000"/>
          <w:u w:val="single"/>
        </w:rPr>
        <w:t>Legally Authorized Representative (LAR)</w:t>
      </w:r>
      <w:r>
        <w:rPr>
          <w:rFonts w:ascii="Arial" w:eastAsia="Arial" w:hAnsi="Arial" w:cs="Arial"/>
          <w:color w:val="000000"/>
        </w:rPr>
        <w:t>”)</w:t>
      </w:r>
      <w:r>
        <w:rPr>
          <w:rFonts w:ascii="Arial" w:eastAsia="Arial" w:hAnsi="Arial" w:cs="Arial"/>
          <w:color w:val="000000"/>
          <w:vertAlign w:val="superscript"/>
        </w:rPr>
        <w:footnoteReference w:id="2"/>
      </w:r>
    </w:p>
    <w:p w14:paraId="53FFF6BB" w14:textId="77777777" w:rsidR="002F0357" w:rsidRDefault="0053024F">
      <w:pPr>
        <w:pBdr>
          <w:top w:val="nil"/>
          <w:left w:val="nil"/>
          <w:bottom w:val="single" w:sz="6" w:space="1" w:color="000000"/>
          <w:right w:val="nil"/>
          <w:between w:val="nil"/>
        </w:pBdr>
        <w:spacing w:after="120" w:line="276" w:lineRule="auto"/>
        <w:rPr>
          <w:rFonts w:ascii="Arial" w:eastAsia="Arial" w:hAnsi="Arial" w:cs="Arial"/>
          <w:color w:val="000000"/>
        </w:rPr>
      </w:pPr>
      <w:r>
        <w:rPr>
          <w:rFonts w:ascii="Arial" w:eastAsia="Arial" w:hAnsi="Arial" w:cs="Arial"/>
          <w:color w:val="000000"/>
        </w:rPr>
        <w:t xml:space="preserve"> </w:t>
      </w:r>
    </w:p>
    <w:p w14:paraId="1DA955E7" w14:textId="77777777" w:rsidR="002F0357" w:rsidRDefault="0053024F">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b/>
          <w:color w:val="000000"/>
        </w:rPr>
        <w:t>Method for limited IRB review</w:t>
      </w:r>
      <w:r>
        <w:rPr>
          <w:rFonts w:ascii="Arial" w:eastAsia="Arial" w:hAnsi="Arial" w:cs="Arial"/>
          <w:color w:val="000000"/>
        </w:rPr>
        <w:t>: (check one)</w:t>
      </w:r>
    </w:p>
    <w:p w14:paraId="04513CF6" w14:textId="77777777" w:rsidR="002F0357"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712306235"/>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Limited IRB review, for research as a condition of exemption, conducted via expedited review</w:t>
      </w:r>
      <w:r w:rsidR="0053024F">
        <w:rPr>
          <w:rFonts w:ascii="Arial" w:eastAsia="Arial" w:hAnsi="Arial" w:cs="Arial"/>
          <w:color w:val="000000"/>
          <w:vertAlign w:val="superscript"/>
        </w:rPr>
        <w:footnoteReference w:id="3"/>
      </w:r>
    </w:p>
    <w:p w14:paraId="3B9C6C21" w14:textId="77777777" w:rsidR="002F0357"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51669343"/>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Limited IRB review, for research as a condition of exemption, performed by the convened IRB.</w:t>
      </w:r>
    </w:p>
    <w:p w14:paraId="7AED01C1" w14:textId="77777777" w:rsidR="002F0357" w:rsidRDefault="0053024F">
      <w:pPr>
        <w:numPr>
          <w:ilvl w:val="0"/>
          <w:numId w:val="1"/>
        </w:numPr>
        <w:pBdr>
          <w:top w:val="single" w:sz="4" w:space="1" w:color="AEAAAA"/>
          <w:left w:val="single" w:sz="4" w:space="4" w:color="AEAAAA"/>
          <w:bottom w:val="single" w:sz="4" w:space="0"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The research falls into one the following exempt categories</w:t>
      </w:r>
      <w:r>
        <w:rPr>
          <w:rFonts w:ascii="Arial" w:eastAsia="Arial" w:hAnsi="Arial" w:cs="Arial"/>
          <w:color w:val="000000"/>
        </w:rPr>
        <w:t>: (One or more categories must be checked)</w:t>
      </w:r>
    </w:p>
    <w:p w14:paraId="71694C29" w14:textId="77777777" w:rsidR="002F0357"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947006380"/>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Category 2 (iii): Research that only includes Interactions involving educational tests (cognitive, diagnostic, aptitude, achievement), survey procedures, interview procedures or observation of public behavior (including visual or auditory recording) where the information obtained is recorded by the investigator in such a manner that the identity of the Human Subjects can readily be ascertained, directly or through identifiers linked to the subjects. The following must be true</w:t>
      </w:r>
      <w:r w:rsidR="0053024F">
        <w:rPr>
          <w:rFonts w:ascii="Arial" w:eastAsia="Arial" w:hAnsi="Arial" w:cs="Arial"/>
          <w:color w:val="000000"/>
          <w:vertAlign w:val="superscript"/>
        </w:rPr>
        <w:footnoteReference w:id="4"/>
      </w:r>
      <w:r w:rsidR="0053024F">
        <w:rPr>
          <w:rFonts w:ascii="Arial" w:eastAsia="Arial" w:hAnsi="Arial" w:cs="Arial"/>
          <w:color w:val="000000"/>
        </w:rPr>
        <w:t>: (</w:t>
      </w:r>
      <w:r w:rsidR="0053024F">
        <w:rPr>
          <w:rFonts w:ascii="Arial" w:eastAsia="Arial" w:hAnsi="Arial" w:cs="Arial"/>
          <w:b/>
          <w:color w:val="000000"/>
        </w:rPr>
        <w:t>Check if “Yes”</w:t>
      </w:r>
      <w:r w:rsidR="0053024F">
        <w:rPr>
          <w:rFonts w:ascii="Arial" w:eastAsia="Arial" w:hAnsi="Arial" w:cs="Arial"/>
          <w:color w:val="000000"/>
        </w:rPr>
        <w:t>)</w:t>
      </w:r>
    </w:p>
    <w:p w14:paraId="6F9BB541" w14:textId="77777777" w:rsidR="002F0357"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
          <w:id w:val="2117393995"/>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There are adequate provisions to protect the privacy of subjects and to maintain the confidentiality of data.</w:t>
      </w:r>
    </w:p>
    <w:p w14:paraId="43858243" w14:textId="77777777" w:rsidR="002F0357"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315603146"/>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Category 3 (i)(C): Research involving benign behavioral </w:t>
      </w:r>
      <w:r w:rsidR="0053024F">
        <w:rPr>
          <w:rFonts w:ascii="Arial" w:eastAsia="Arial" w:hAnsi="Arial" w:cs="Arial"/>
          <w:color w:val="000000"/>
          <w:u w:val="single"/>
        </w:rPr>
        <w:t>Interventions</w:t>
      </w:r>
      <w:r w:rsidR="0053024F">
        <w:rPr>
          <w:rFonts w:ascii="Arial" w:eastAsia="Arial" w:hAnsi="Arial" w:cs="Arial"/>
          <w:color w:val="000000"/>
          <w:vertAlign w:val="superscript"/>
        </w:rPr>
        <w:footnoteReference w:id="5"/>
      </w:r>
      <w:r w:rsidR="0053024F">
        <w:rPr>
          <w:rFonts w:ascii="Arial" w:eastAsia="Arial" w:hAnsi="Arial" w:cs="Arial"/>
          <w:color w:val="000000"/>
        </w:rPr>
        <w:t xml:space="preserve"> in conjunction with the collection of information from an adult subject through verbal or written responses (including data entry) or audiovisual recording if the subject prospectively agrees to the </w:t>
      </w:r>
      <w:r w:rsidR="0053024F">
        <w:rPr>
          <w:rFonts w:ascii="Arial" w:eastAsia="Arial" w:hAnsi="Arial" w:cs="Arial"/>
          <w:color w:val="000000"/>
          <w:u w:val="single"/>
        </w:rPr>
        <w:t xml:space="preserve">Intervention </w:t>
      </w:r>
      <w:r w:rsidR="0053024F">
        <w:rPr>
          <w:rFonts w:ascii="Arial" w:eastAsia="Arial" w:hAnsi="Arial" w:cs="Arial"/>
          <w:color w:val="000000"/>
        </w:rPr>
        <w:t xml:space="preserve">and information collection and the information obtained is recorded by the investigator in such a manner that the identity of the </w:t>
      </w:r>
      <w:r w:rsidR="0053024F">
        <w:rPr>
          <w:rFonts w:ascii="Arial" w:eastAsia="Arial" w:hAnsi="Arial" w:cs="Arial"/>
          <w:color w:val="000000"/>
          <w:u w:val="single"/>
        </w:rPr>
        <w:t xml:space="preserve">Human </w:t>
      </w:r>
      <w:r w:rsidR="0053024F">
        <w:rPr>
          <w:rFonts w:ascii="Arial" w:eastAsia="Arial" w:hAnsi="Arial" w:cs="Arial"/>
          <w:color w:val="000000"/>
          <w:u w:val="single"/>
        </w:rPr>
        <w:lastRenderedPageBreak/>
        <w:t>Subjects</w:t>
      </w:r>
      <w:r w:rsidR="0053024F">
        <w:rPr>
          <w:rFonts w:ascii="Arial" w:eastAsia="Arial" w:hAnsi="Arial" w:cs="Arial"/>
          <w:color w:val="000000"/>
        </w:rPr>
        <w:t xml:space="preserve"> can readily be ascertained, directly or through identifiers linked to the subjects. The following must be true </w:t>
      </w:r>
      <w:r w:rsidR="0053024F">
        <w:rPr>
          <w:rFonts w:ascii="Arial" w:eastAsia="Arial" w:hAnsi="Arial" w:cs="Arial"/>
          <w:color w:val="000000"/>
          <w:vertAlign w:val="superscript"/>
        </w:rPr>
        <w:footnoteReference w:id="6"/>
      </w:r>
      <w:r w:rsidR="0053024F">
        <w:rPr>
          <w:rFonts w:ascii="Arial" w:eastAsia="Arial" w:hAnsi="Arial" w:cs="Arial"/>
          <w:color w:val="000000"/>
        </w:rPr>
        <w:t xml:space="preserve"> </w:t>
      </w:r>
      <w:r w:rsidR="0053024F">
        <w:rPr>
          <w:rFonts w:ascii="Arial" w:eastAsia="Arial" w:hAnsi="Arial" w:cs="Arial"/>
          <w:color w:val="000000"/>
          <w:vertAlign w:val="superscript"/>
        </w:rPr>
        <w:footnoteReference w:id="7"/>
      </w:r>
      <w:r w:rsidR="0053024F">
        <w:rPr>
          <w:rFonts w:ascii="Arial" w:eastAsia="Arial" w:hAnsi="Arial" w:cs="Arial"/>
          <w:color w:val="000000"/>
        </w:rPr>
        <w:t>:</w:t>
      </w:r>
      <w:r w:rsidR="0053024F">
        <w:rPr>
          <w:rFonts w:ascii="Arial" w:eastAsia="Arial" w:hAnsi="Arial" w:cs="Arial"/>
          <w:b/>
          <w:color w:val="000000"/>
        </w:rPr>
        <w:t>(Check if “Yes”)</w:t>
      </w:r>
    </w:p>
    <w:p w14:paraId="73E323B9" w14:textId="77777777" w:rsidR="002F0357"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5"/>
          <w:id w:val="856154568"/>
        </w:sdtPr>
        <w:sdtContent>
          <w:r w:rsidR="0053024F">
            <w:rPr>
              <w:rFonts w:ascii="Arial Unicode MS" w:eastAsia="Arial Unicode MS" w:hAnsi="Arial Unicode MS" w:cs="Arial Unicode MS"/>
              <w:color w:val="000000"/>
            </w:rPr>
            <w:t>☐</w:t>
          </w:r>
        </w:sdtContent>
      </w:sdt>
      <w:r w:rsidR="0053024F">
        <w:rPr>
          <w:rFonts w:ascii="Arial" w:eastAsia="Arial" w:hAnsi="Arial" w:cs="Arial"/>
          <w:color w:val="000000"/>
        </w:rPr>
        <w:t xml:space="preserve"> There are adequate provisions to protect the privacy of subjects and to maintain the confidentiality of data.</w:t>
      </w:r>
    </w:p>
    <w:p w14:paraId="6BDE52CF" w14:textId="77777777" w:rsidR="002F0357" w:rsidRDefault="002F0357">
      <w:pPr>
        <w:pBdr>
          <w:top w:val="nil"/>
          <w:left w:val="nil"/>
          <w:bottom w:val="nil"/>
          <w:right w:val="nil"/>
          <w:between w:val="nil"/>
        </w:pBdr>
        <w:spacing w:after="120" w:line="276" w:lineRule="auto"/>
        <w:ind w:left="288" w:hanging="288"/>
        <w:rPr>
          <w:rFonts w:ascii="Arial" w:eastAsia="Arial" w:hAnsi="Arial" w:cs="Arial"/>
          <w:color w:val="000000"/>
        </w:rPr>
      </w:pPr>
    </w:p>
    <w:sectPr w:rsidR="002F035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81CA" w14:textId="77777777" w:rsidR="00FB5A16" w:rsidRDefault="00FB5A16">
      <w:pPr>
        <w:spacing w:after="0" w:line="240" w:lineRule="auto"/>
      </w:pPr>
      <w:r>
        <w:separator/>
      </w:r>
    </w:p>
  </w:endnote>
  <w:endnote w:type="continuationSeparator" w:id="0">
    <w:p w14:paraId="69ABAE83" w14:textId="77777777" w:rsidR="00FB5A16" w:rsidRDefault="00FB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C6C1" w14:textId="77777777" w:rsidR="005E1659" w:rsidRDefault="005E1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F87F" w14:textId="77777777" w:rsidR="002F0357" w:rsidRDefault="0053024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86DF2A3" w14:textId="77777777" w:rsidR="002F0357" w:rsidRDefault="002F0357">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6782" w14:textId="77777777" w:rsidR="002F0357" w:rsidRDefault="0053024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7CCC683" w14:textId="77777777" w:rsidR="002F0357" w:rsidRDefault="002F0357">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A1AD1" w14:textId="77777777" w:rsidR="00FB5A16" w:rsidRDefault="00FB5A16">
      <w:pPr>
        <w:spacing w:after="0" w:line="240" w:lineRule="auto"/>
      </w:pPr>
      <w:r>
        <w:separator/>
      </w:r>
    </w:p>
  </w:footnote>
  <w:footnote w:type="continuationSeparator" w:id="0">
    <w:p w14:paraId="49F8B01A" w14:textId="77777777" w:rsidR="00FB5A16" w:rsidRDefault="00FB5A16">
      <w:pPr>
        <w:spacing w:after="0" w:line="240" w:lineRule="auto"/>
      </w:pPr>
      <w:r>
        <w:continuationSeparator/>
      </w:r>
    </w:p>
  </w:footnote>
  <w:footnote w:id="1">
    <w:p w14:paraId="21DEBAB3" w14:textId="77777777" w:rsidR="002F0357" w:rsidRPr="005E1659" w:rsidRDefault="0053024F">
      <w:pPr>
        <w:pBdr>
          <w:top w:val="nil"/>
          <w:left w:val="nil"/>
          <w:bottom w:val="nil"/>
          <w:right w:val="nil"/>
          <w:between w:val="nil"/>
        </w:pBdr>
        <w:spacing w:after="0" w:line="240" w:lineRule="auto"/>
        <w:rPr>
          <w:rFonts w:ascii="Arial" w:eastAsia="Arial" w:hAnsi="Arial" w:cs="Arial"/>
          <w:color w:val="FF0000"/>
          <w:sz w:val="18"/>
          <w:szCs w:val="18"/>
        </w:rPr>
      </w:pPr>
      <w:r>
        <w:rPr>
          <w:vertAlign w:val="superscript"/>
        </w:rPr>
        <w:footnoteRef/>
      </w:r>
      <w:r>
        <w:rPr>
          <w:rFonts w:ascii="Arial" w:eastAsia="Arial" w:hAnsi="Arial" w:cs="Arial"/>
          <w:color w:val="000000"/>
          <w:sz w:val="18"/>
          <w:szCs w:val="18"/>
        </w:rPr>
        <w:t xml:space="preserve"> </w:t>
      </w:r>
      <w:r w:rsidRPr="005E1659">
        <w:rPr>
          <w:rFonts w:ascii="Arial" w:eastAsia="Arial" w:hAnsi="Arial" w:cs="Arial"/>
          <w:color w:val="FF0000"/>
          <w:sz w:val="18"/>
          <w:szCs w:val="18"/>
        </w:rPr>
        <w:t xml:space="preserve">For VA Research, </w:t>
      </w:r>
    </w:p>
    <w:p w14:paraId="78AD2730" w14:textId="77777777" w:rsidR="002F0357" w:rsidRPr="005E1659" w:rsidRDefault="0053024F">
      <w:pPr>
        <w:numPr>
          <w:ilvl w:val="0"/>
          <w:numId w:val="2"/>
        </w:numPr>
        <w:pBdr>
          <w:top w:val="nil"/>
          <w:left w:val="nil"/>
          <w:bottom w:val="nil"/>
          <w:right w:val="nil"/>
          <w:between w:val="nil"/>
        </w:pBdr>
        <w:spacing w:after="0" w:line="240" w:lineRule="auto"/>
        <w:rPr>
          <w:rFonts w:ascii="Arial" w:eastAsia="Arial" w:hAnsi="Arial" w:cs="Arial"/>
          <w:color w:val="FF0000"/>
          <w:sz w:val="18"/>
          <w:szCs w:val="18"/>
        </w:rPr>
      </w:pPr>
      <w:r w:rsidRPr="005E1659">
        <w:rPr>
          <w:rFonts w:ascii="Arial" w:eastAsia="Arial" w:hAnsi="Arial" w:cs="Arial"/>
          <w:color w:val="FF0000"/>
          <w:sz w:val="18"/>
          <w:szCs w:val="18"/>
        </w:rPr>
        <w:t>If an exempt activity requires a limited IRB review, the limited IRB review must be completed prior to approval by the R&amp;D Committee.</w:t>
      </w:r>
    </w:p>
    <w:p w14:paraId="25C54530" w14:textId="77777777" w:rsidR="002F0357" w:rsidRDefault="0053024F">
      <w:pPr>
        <w:numPr>
          <w:ilvl w:val="0"/>
          <w:numId w:val="2"/>
        </w:numPr>
        <w:pBdr>
          <w:top w:val="nil"/>
          <w:left w:val="nil"/>
          <w:bottom w:val="nil"/>
          <w:right w:val="nil"/>
          <w:between w:val="nil"/>
        </w:pBdr>
        <w:spacing w:after="0" w:line="240" w:lineRule="auto"/>
        <w:rPr>
          <w:rFonts w:ascii="Arial" w:eastAsia="Arial" w:hAnsi="Arial" w:cs="Arial"/>
          <w:color w:val="F898A6"/>
          <w:sz w:val="18"/>
          <w:szCs w:val="18"/>
        </w:rPr>
      </w:pPr>
      <w:r w:rsidRPr="005E1659">
        <w:rPr>
          <w:rFonts w:ascii="Arial" w:eastAsia="Arial" w:hAnsi="Arial" w:cs="Arial"/>
          <w:color w:val="FF0000"/>
          <w:sz w:val="18"/>
          <w:szCs w:val="18"/>
        </w:rPr>
        <w:t>Research that has undergone limited IRB review and determined to be exempt requires approval by the R&amp;D Committee and requires continuing review by the R&amp;D Committee unless it is under the oversight of another subcommittee (e.g., Safety Review Subcommittee).</w:t>
      </w:r>
    </w:p>
  </w:footnote>
  <w:footnote w:id="2">
    <w:p w14:paraId="1BFC19E2"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II.2.A, II.2.B, II.2.C, II.3.F, II.3.G</w:t>
      </w:r>
    </w:p>
  </w:footnote>
  <w:footnote w:id="3">
    <w:p w14:paraId="3179A59B"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45 CFR §46.110(b)(1)</w:t>
      </w:r>
    </w:p>
  </w:footnote>
  <w:footnote w:id="4">
    <w:p w14:paraId="22D2EF1F"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45 CFR §46.111(a)(7)</w:t>
      </w:r>
    </w:p>
  </w:footnote>
  <w:footnote w:id="5">
    <w:p w14:paraId="112C3A80"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the purpose of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footnote>
  <w:footnote w:id="6">
    <w:p w14:paraId="68CD09DA"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45 CFR §46.111(a)(7)</w:t>
      </w:r>
    </w:p>
  </w:footnote>
  <w:footnote w:id="7">
    <w:p w14:paraId="1CFFE9BB" w14:textId="77777777" w:rsidR="002F0357" w:rsidRDefault="0053024F">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1A5D" w14:textId="77777777" w:rsidR="005E1659" w:rsidRDefault="005E1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F17B" w14:textId="77777777" w:rsidR="002F0357" w:rsidRDefault="002F0357">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DAE1" w14:textId="77777777" w:rsidR="002F0357" w:rsidRDefault="0053024F">
    <w:pPr>
      <w:tabs>
        <w:tab w:val="center" w:pos="4680"/>
        <w:tab w:val="right" w:pos="9360"/>
      </w:tabs>
      <w:spacing w:after="0" w:line="240" w:lineRule="auto"/>
      <w:jc w:val="center"/>
      <w:rPr>
        <w:color w:val="000000"/>
      </w:rPr>
    </w:pPr>
    <w:r>
      <w:rPr>
        <w:noProof/>
      </w:rPr>
      <w:drawing>
        <wp:inline distT="0" distB="0" distL="0" distR="0" wp14:anchorId="28E0355F" wp14:editId="204CD507">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70C5"/>
    <w:multiLevelType w:val="multilevel"/>
    <w:tmpl w:val="29EA72B8"/>
    <w:lvl w:ilvl="0">
      <w:start w:val="1"/>
      <w:numFmt w:val="bullet"/>
      <w:lvlText w:val="●"/>
      <w:lvlJc w:val="left"/>
      <w:pPr>
        <w:ind w:left="720" w:hanging="360"/>
      </w:pPr>
      <w:rPr>
        <w:rFonts w:ascii="Noto Sans Symbols" w:eastAsia="Noto Sans Symbols" w:hAnsi="Noto Sans Symbols" w:cs="Noto Sans Symbols"/>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617C6F"/>
    <w:multiLevelType w:val="multilevel"/>
    <w:tmpl w:val="E718382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6367256">
    <w:abstractNumId w:val="1"/>
  </w:num>
  <w:num w:numId="2" w16cid:durableId="35450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357"/>
    <w:rsid w:val="002F0357"/>
    <w:rsid w:val="0053024F"/>
    <w:rsid w:val="005E1659"/>
    <w:rsid w:val="00FB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BB8C"/>
  <w15:docId w15:val="{41FB388D-98D9-4CDD-805B-93766C72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semiHidden/>
    <w:rPr>
      <w:rFonts w:ascii="Arial" w:hAnsi="Arial"/>
      <w:sz w:val="18"/>
      <w:szCs w:val="20"/>
    </w:rPr>
  </w:style>
  <w:style w:type="character" w:styleId="EndnoteReference">
    <w:name w:val="endnote reference"/>
    <w:basedOn w:val="DefaultParagraphFont"/>
    <w:semiHidden/>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otqBXby79UJYLiAqsirKyVsG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GonChRzdWdnZXN0LnU1eGI0Y3d0NmltNBIPTWFkZWxlbmEgRWlmZXJ0ciExbk8wSE9CZWhXNEdfMEtwdVBPSkFKVklJOWlQNHpKQ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1617</Characters>
  <Application>Microsoft Office Word</Application>
  <DocSecurity>0</DocSecurity>
  <Lines>13</Lines>
  <Paragraphs>3</Paragraphs>
  <ScaleCrop>false</ScaleCrop>
  <Company>Huron</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2024-04-08T16:21:00Z</dcterms:created>
  <dcterms:modified xsi:type="dcterms:W3CDTF">2024-04-08T16:21:00Z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