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DBC5" w14:textId="77777777" w:rsidR="00A851B4" w:rsidRDefault="00A851B4">
      <w:pPr>
        <w:spacing w:after="0"/>
        <w:rPr>
          <w:rFonts w:ascii="Arial" w:eastAsia="Arial" w:hAnsi="Arial" w:cs="Arial"/>
          <w:sz w:val="24"/>
          <w:szCs w:val="24"/>
        </w:rPr>
      </w:pPr>
    </w:p>
    <w:p w14:paraId="5464BDDA" w14:textId="1A9F4715" w:rsidR="00A851B4" w:rsidRDefault="00A84703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HRP-321 | 03/01/2024</w:t>
      </w:r>
    </w:p>
    <w:p w14:paraId="37D43142" w14:textId="77777777" w:rsidR="00A851B4" w:rsidRDefault="00A851B4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627286D8" w14:textId="77777777" w:rsidR="00A851B4" w:rsidRDefault="00A847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 Review of Information Items</w:t>
      </w:r>
    </w:p>
    <w:p w14:paraId="5EABEC73" w14:textId="77777777" w:rsidR="00A851B4" w:rsidRDefault="00A8470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purpose of this worksheet is to provide support for the convened IRB reviewing </w:t>
      </w:r>
      <w:r>
        <w:rPr>
          <w:rFonts w:ascii="Arial" w:eastAsia="Arial" w:hAnsi="Arial" w:cs="Arial"/>
          <w:color w:val="000000"/>
          <w:u w:val="single"/>
        </w:rPr>
        <w:t>Serious Non-Compliance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u w:val="single"/>
        </w:rPr>
        <w:t>Continuing Non-Compliance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u w:val="single"/>
        </w:rPr>
        <w:t>Unanticipated Problem Involving Risks to Subjects or Others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  <w:u w:val="single"/>
        </w:rPr>
        <w:t>Suspension of IRB Approval</w:t>
      </w:r>
      <w:r>
        <w:rPr>
          <w:rFonts w:ascii="Arial" w:eastAsia="Arial" w:hAnsi="Arial" w:cs="Arial"/>
          <w:color w:val="000000"/>
        </w:rPr>
        <w:t xml:space="preserve">, and </w:t>
      </w:r>
      <w:r>
        <w:rPr>
          <w:rFonts w:ascii="Arial" w:eastAsia="Arial" w:hAnsi="Arial" w:cs="Arial"/>
          <w:color w:val="000000"/>
          <w:u w:val="single"/>
        </w:rPr>
        <w:t>Termination of IRB Approval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  <w:r>
        <w:rPr>
          <w:rFonts w:ascii="Arial" w:eastAsia="Arial" w:hAnsi="Arial" w:cs="Arial"/>
          <w:color w:val="000000"/>
        </w:rPr>
        <w:t xml:space="preserve">. </w:t>
      </w:r>
    </w:p>
    <w:p w14:paraId="049AEBC5" w14:textId="77777777" w:rsidR="00A851B4" w:rsidRDefault="00A84703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  <w:sectPr w:rsidR="00A851B4" w:rsidSect="00397A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>Considerations</w:t>
      </w:r>
    </w:p>
    <w:p w14:paraId="46539EEF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0"/>
          <w:id w:val="910976435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Modify the protocol.</w:t>
      </w:r>
    </w:p>
    <w:p w14:paraId="110523C6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"/>
          <w:id w:val="-901134792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Modify the information disclosed during the consent process.</w:t>
      </w:r>
    </w:p>
    <w:p w14:paraId="0D3A1A74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-1209325926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Provide additional information to current subjects (whenever the information may relate to the subject’s willingness to continue).</w:t>
      </w:r>
    </w:p>
    <w:p w14:paraId="09159E79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666912272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Provide additional information to past subjects.</w:t>
      </w:r>
    </w:p>
    <w:p w14:paraId="1D6D42A1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694273339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Have current subjects to re-consent.</w:t>
      </w:r>
    </w:p>
    <w:p w14:paraId="03A1D696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-1085839377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Increase the frequency of continuing review.</w:t>
      </w:r>
    </w:p>
    <w:p w14:paraId="72B1DF87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6"/>
          <w:id w:val="-2064014121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Observe the research.</w:t>
      </w:r>
    </w:p>
    <w:p w14:paraId="2CD9303C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7"/>
          <w:id w:val="918837062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Observe the consent process.</w:t>
      </w:r>
    </w:p>
    <w:p w14:paraId="231C40BF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8"/>
          <w:id w:val="1858455337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Require additional training of the investigator.</w:t>
      </w:r>
    </w:p>
    <w:p w14:paraId="0DEC95CA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9"/>
          <w:id w:val="-467899287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Notify investigators at other sites.</w:t>
      </w:r>
    </w:p>
    <w:p w14:paraId="483B14EA" w14:textId="77777777" w:rsidR="00A851B4" w:rsidRDefault="00A8470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5" w:hanging="285"/>
        <w:rPr>
          <w:rFonts w:ascii="Arial" w:eastAsia="Arial" w:hAnsi="Arial" w:cs="Arial"/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Terminate IRB approval.</w:t>
      </w:r>
    </w:p>
    <w:p w14:paraId="1D9E2722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0"/>
          <w:id w:val="1103147542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Suspend IRB approval.</w:t>
      </w:r>
    </w:p>
    <w:p w14:paraId="574FF9D3" w14:textId="77777777" w:rsidR="00A851B4" w:rsidRDefault="00A8470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☐ Lift prior suspension of IRB approval.</w:t>
      </w:r>
    </w:p>
    <w:p w14:paraId="322FEF84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1"/>
          <w:id w:val="1509325560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Transfer subjects to another investigator.</w:t>
      </w:r>
    </w:p>
    <w:p w14:paraId="740468F3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2"/>
          <w:id w:val="-496879359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</w:t>
      </w:r>
      <w:proofErr w:type="gramStart"/>
      <w:r w:rsidR="00A84703">
        <w:rPr>
          <w:rFonts w:ascii="Arial" w:eastAsia="Arial" w:hAnsi="Arial" w:cs="Arial"/>
          <w:color w:val="000000"/>
        </w:rPr>
        <w:t>Make arrangements</w:t>
      </w:r>
      <w:proofErr w:type="gramEnd"/>
      <w:r w:rsidR="00A84703">
        <w:rPr>
          <w:rFonts w:ascii="Arial" w:eastAsia="Arial" w:hAnsi="Arial" w:cs="Arial"/>
          <w:color w:val="000000"/>
        </w:rPr>
        <w:t xml:space="preserve"> for clinical care outside the research.</w:t>
      </w:r>
    </w:p>
    <w:p w14:paraId="683B35D9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3"/>
          <w:id w:val="788241759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Allow continuation of some research activities under the supervision of an independent monitor.</w:t>
      </w:r>
    </w:p>
    <w:p w14:paraId="428DC489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4"/>
          <w:id w:val="-1769690628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Require follow-up of subjects for safety reasons.</w:t>
      </w:r>
    </w:p>
    <w:p w14:paraId="53B99B87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5"/>
          <w:id w:val="2057429181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Require adverse events or outcomes to be reported to the IRB and the sponsor.</w:t>
      </w:r>
    </w:p>
    <w:p w14:paraId="12906921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6"/>
          <w:id w:val="507949308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Obtain additional information.</w:t>
      </w:r>
    </w:p>
    <w:p w14:paraId="491DDDB8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7"/>
          <w:id w:val="436719223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Consider whether changes without prior IRB review and approval were consistent with ensuring the subject’s continued welfare.</w:t>
      </w:r>
    </w:p>
    <w:p w14:paraId="19CFC7AB" w14:textId="77777777" w:rsidR="00A851B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8"/>
          <w:id w:val="361957027"/>
        </w:sdtPr>
        <w:sdtContent>
          <w:r w:rsidR="00A84703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84703">
        <w:rPr>
          <w:rFonts w:ascii="Arial" w:eastAsia="Arial" w:hAnsi="Arial" w:cs="Arial"/>
          <w:color w:val="000000"/>
        </w:rPr>
        <w:t xml:space="preserve"> Other:  Click or tap here to enter text.      </w:t>
      </w:r>
    </w:p>
    <w:sectPr w:rsidR="00A851B4">
      <w:type w:val="continuous"/>
      <w:pgSz w:w="12240" w:h="15840"/>
      <w:pgMar w:top="720" w:right="720" w:bottom="720" w:left="720" w:header="720" w:footer="720" w:gutter="0"/>
      <w:cols w:num="2" w:space="720" w:equalWidth="0">
        <w:col w:w="5040" w:space="720"/>
        <w:col w:w="504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55FC" w14:textId="77777777" w:rsidR="00397A9A" w:rsidRDefault="00397A9A">
      <w:pPr>
        <w:spacing w:after="0" w:line="240" w:lineRule="auto"/>
      </w:pPr>
      <w:r>
        <w:separator/>
      </w:r>
    </w:p>
  </w:endnote>
  <w:endnote w:type="continuationSeparator" w:id="0">
    <w:p w14:paraId="79270E65" w14:textId="77777777" w:rsidR="00397A9A" w:rsidRDefault="003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32BF" w14:textId="77777777" w:rsidR="002A009F" w:rsidRDefault="002A0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BBA3" w14:textId="77777777" w:rsidR="00A851B4" w:rsidRDefault="00A847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w14:paraId="4C2C584C" w14:textId="77777777" w:rsidR="00A851B4" w:rsidRDefault="00A847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b/>
        <w:color w:val="717275"/>
        <w:sz w:val="18"/>
        <w:szCs w:val="18"/>
      </w:rPr>
    </w:pPr>
    <w:r>
      <w:rPr>
        <w:rFonts w:ascii="Montserrat" w:eastAsia="Montserrat" w:hAnsi="Montserrat" w:cs="Montserrat"/>
        <w:b/>
        <w:color w:val="717275"/>
        <w:sz w:val="18"/>
        <w:szCs w:val="18"/>
      </w:rPr>
      <w:t>Huron HRPP Toolkit 5.0</w:t>
    </w:r>
  </w:p>
  <w:p w14:paraId="5C442DA8" w14:textId="77777777" w:rsidR="00A851B4" w:rsidRDefault="00A847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color w:val="717275"/>
        <w:sz w:val="18"/>
        <w:szCs w:val="18"/>
      </w:rPr>
    </w:pPr>
    <w:r>
      <w:rPr>
        <w:rFonts w:ascii="Montserrat" w:eastAsia="Montserrat" w:hAnsi="Montserrat" w:cs="Montserrat"/>
        <w:color w:val="717275"/>
        <w:sz w:val="18"/>
        <w:szCs w:val="18"/>
      </w:rPr>
      <w:t>© 2009-2022 Huron Consulting Group Inc. and affiliates.</w:t>
    </w:r>
  </w:p>
  <w:p w14:paraId="3E985BE6" w14:textId="77777777" w:rsidR="00A851B4" w:rsidRDefault="00A847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Montserrat" w:eastAsia="Montserrat" w:hAnsi="Montserrat" w:cs="Montserrat"/>
        <w:color w:val="717275"/>
        <w:sz w:val="18"/>
        <w:szCs w:val="18"/>
      </w:rPr>
      <w:t>Use subject to Huron’s Toolkit terms and conditions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B632" w14:textId="77777777" w:rsidR="00A851B4" w:rsidRDefault="00A847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23AA06B" w14:textId="77777777" w:rsidR="00A851B4" w:rsidRDefault="00A851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BAF8" w14:textId="77777777" w:rsidR="00397A9A" w:rsidRDefault="00397A9A">
      <w:pPr>
        <w:spacing w:after="0" w:line="240" w:lineRule="auto"/>
      </w:pPr>
      <w:r>
        <w:separator/>
      </w:r>
    </w:p>
  </w:footnote>
  <w:footnote w:type="continuationSeparator" w:id="0">
    <w:p w14:paraId="7FBECABC" w14:textId="77777777" w:rsidR="00397A9A" w:rsidRDefault="00397A9A">
      <w:pPr>
        <w:spacing w:after="0" w:line="240" w:lineRule="auto"/>
      </w:pPr>
      <w:r>
        <w:continuationSeparator/>
      </w:r>
    </w:p>
  </w:footnote>
  <w:footnote w:id="1">
    <w:p w14:paraId="1F458367" w14:textId="77777777" w:rsidR="00A851B4" w:rsidRDefault="00A84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This document satisfies AAHRPP elements I.5.A, I.5.D, I-9, II.2.G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BA04" w14:textId="77777777" w:rsidR="002A009F" w:rsidRDefault="002A0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0CD3" w14:textId="77777777" w:rsidR="00A851B4" w:rsidRDefault="00A847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noProof/>
        <w:color w:val="000000"/>
      </w:rPr>
      <w:drawing>
        <wp:inline distT="0" distB="0" distL="0" distR="0" wp14:anchorId="15552548" wp14:editId="7E83FFDD">
          <wp:extent cx="1627067" cy="515620"/>
          <wp:effectExtent l="0" t="0" r="0" b="0"/>
          <wp:docPr id="10" name="image2.jpg" descr="This is the Huro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is is the Huro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7067" cy="515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89C3" w14:textId="77777777" w:rsidR="00A851B4" w:rsidRDefault="00A84703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8FBB0C8" wp14:editId="6A0B7FDE">
          <wp:extent cx="3257378" cy="402263"/>
          <wp:effectExtent l="0" t="0" r="635" b="0"/>
          <wp:docPr id="9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96B17"/>
    <w:multiLevelType w:val="multilevel"/>
    <w:tmpl w:val="3B14F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5657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B4"/>
    <w:rsid w:val="002A009F"/>
    <w:rsid w:val="00397A9A"/>
    <w:rsid w:val="0081269A"/>
    <w:rsid w:val="00A84703"/>
    <w:rsid w:val="00A851B4"/>
    <w:rsid w:val="00E8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9997"/>
  <w15:docId w15:val="{0DD3CC4C-C66B-40C9-8339-9E565390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SRYfhaNd+tgmlUF8wR1VJq/Y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zgAaicKFHN1Z2dlc3QudWFhOXI0cWV0amh0Eg9NYWRlbGVuYSBFaWZlcnRyITFVb3BKUC0wLThReTgyVmE1VDdJdGFFbjBfMmR0Q1VZ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>Huron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2024-04-08T16:24:00Z</dcterms:created>
  <dcterms:modified xsi:type="dcterms:W3CDTF">2024-04-08T16:24:00Z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