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3647" w14:textId="631F9F71" w:rsidR="00EA7489" w:rsidRDefault="007205AB">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HRP-332 | 0</w:t>
      </w:r>
      <w:r w:rsidR="00DA7A44">
        <w:rPr>
          <w:rFonts w:ascii="Arial" w:eastAsia="Arial" w:hAnsi="Arial" w:cs="Arial"/>
          <w:color w:val="000000"/>
          <w:sz w:val="24"/>
          <w:szCs w:val="24"/>
        </w:rPr>
        <w:t>3</w:t>
      </w:r>
      <w:r>
        <w:rPr>
          <w:rFonts w:ascii="Arial" w:eastAsia="Arial" w:hAnsi="Arial" w:cs="Arial"/>
          <w:color w:val="000000"/>
          <w:sz w:val="24"/>
          <w:szCs w:val="24"/>
        </w:rPr>
        <w:t>/</w:t>
      </w:r>
      <w:r w:rsidR="00DA7A44">
        <w:rPr>
          <w:rFonts w:ascii="Arial" w:eastAsia="Arial" w:hAnsi="Arial" w:cs="Arial"/>
          <w:color w:val="000000"/>
          <w:sz w:val="24"/>
          <w:szCs w:val="24"/>
        </w:rPr>
        <w:t>0</w:t>
      </w:r>
      <w:r>
        <w:rPr>
          <w:rFonts w:ascii="Arial" w:eastAsia="Arial" w:hAnsi="Arial" w:cs="Arial"/>
          <w:color w:val="000000"/>
          <w:sz w:val="24"/>
          <w:szCs w:val="24"/>
        </w:rPr>
        <w:t>1/202</w:t>
      </w:r>
      <w:r w:rsidR="00DA7A44">
        <w:rPr>
          <w:rFonts w:ascii="Arial" w:eastAsia="Arial" w:hAnsi="Arial" w:cs="Arial"/>
          <w:color w:val="000000"/>
          <w:sz w:val="24"/>
          <w:szCs w:val="24"/>
        </w:rPr>
        <w:t>4</w:t>
      </w:r>
    </w:p>
    <w:p w14:paraId="59253648" w14:textId="77777777" w:rsidR="00EA7489" w:rsidRDefault="00EA7489">
      <w:pPr>
        <w:pBdr>
          <w:top w:val="nil"/>
          <w:left w:val="nil"/>
          <w:bottom w:val="nil"/>
          <w:right w:val="nil"/>
          <w:between w:val="nil"/>
        </w:pBdr>
        <w:spacing w:after="0" w:line="240" w:lineRule="auto"/>
        <w:jc w:val="right"/>
        <w:rPr>
          <w:rFonts w:ascii="Arial" w:eastAsia="Arial" w:hAnsi="Arial" w:cs="Arial"/>
          <w:b/>
          <w:color w:val="000000"/>
          <w:sz w:val="24"/>
          <w:szCs w:val="24"/>
        </w:rPr>
      </w:pPr>
    </w:p>
    <w:p w14:paraId="59253649" w14:textId="31AD500C" w:rsidR="00EA7489" w:rsidRDefault="00DA7A44" w:rsidP="00DA7A44">
      <w:pPr>
        <w:pBdr>
          <w:top w:val="nil"/>
          <w:left w:val="nil"/>
          <w:bottom w:val="nil"/>
          <w:right w:val="nil"/>
          <w:between w:val="nil"/>
        </w:pBdr>
        <w:tabs>
          <w:tab w:val="center" w:pos="5400"/>
          <w:tab w:val="right" w:pos="10800"/>
        </w:tabs>
        <w:spacing w:line="360" w:lineRule="auto"/>
        <w:rPr>
          <w:rFonts w:ascii="Arial" w:eastAsia="Arial" w:hAnsi="Arial" w:cs="Arial"/>
          <w:b/>
          <w:color w:val="000000"/>
          <w:sz w:val="32"/>
          <w:szCs w:val="32"/>
        </w:rPr>
      </w:pPr>
      <w:r>
        <w:rPr>
          <w:rFonts w:ascii="Arial" w:eastAsia="Arial" w:hAnsi="Arial" w:cs="Arial"/>
          <w:b/>
          <w:color w:val="000000"/>
          <w:sz w:val="32"/>
          <w:szCs w:val="32"/>
        </w:rPr>
        <w:tab/>
      </w:r>
      <w:r w:rsidR="007205AB">
        <w:rPr>
          <w:rFonts w:ascii="Arial" w:eastAsia="Arial" w:hAnsi="Arial" w:cs="Arial"/>
          <w:b/>
          <w:color w:val="000000"/>
          <w:sz w:val="32"/>
          <w:szCs w:val="32"/>
        </w:rPr>
        <w:t>WORKSHEET: NIH GDS Institutional Certification</w:t>
      </w:r>
      <w:r>
        <w:rPr>
          <w:rFonts w:ascii="Arial" w:eastAsia="Arial" w:hAnsi="Arial" w:cs="Arial"/>
          <w:b/>
          <w:color w:val="000000"/>
          <w:sz w:val="32"/>
          <w:szCs w:val="32"/>
        </w:rPr>
        <w:tab/>
      </w:r>
    </w:p>
    <w:p w14:paraId="5925364A" w14:textId="77777777" w:rsidR="00EA7489" w:rsidRDefault="007205AB">
      <w:pPr>
        <w:pBdr>
          <w:top w:val="nil"/>
          <w:left w:val="nil"/>
          <w:bottom w:val="nil"/>
          <w:right w:val="nil"/>
          <w:between w:val="nil"/>
        </w:pBdr>
        <w:spacing w:after="240" w:line="276" w:lineRule="auto"/>
        <w:rPr>
          <w:rFonts w:ascii="Arial" w:eastAsia="Arial" w:hAnsi="Arial" w:cs="Arial"/>
          <w:color w:val="000000"/>
        </w:rPr>
      </w:pPr>
      <w:r>
        <w:rPr>
          <w:rFonts w:ascii="Arial" w:eastAsia="Arial" w:hAnsi="Arial" w:cs="Arial"/>
          <w:color w:val="000000"/>
        </w:rPr>
        <w:t xml:space="preserve">The purpose of this worksheet is to allow the HRPP Director or designee to evaluate whether an investigator’s genomic data sharing plan meets the criteria for submission to an NIH-designated data repository. </w:t>
      </w:r>
    </w:p>
    <w:p w14:paraId="5925364B" w14:textId="77777777" w:rsidR="00EA7489" w:rsidRDefault="00EA7489">
      <w:pPr>
        <w:pBdr>
          <w:top w:val="nil"/>
          <w:left w:val="nil"/>
          <w:bottom w:val="nil"/>
          <w:right w:val="nil"/>
          <w:between w:val="nil"/>
        </w:pBdr>
        <w:spacing w:after="120" w:line="276" w:lineRule="auto"/>
        <w:rPr>
          <w:rFonts w:ascii="Arial" w:eastAsia="Arial" w:hAnsi="Arial" w:cs="Arial"/>
          <w:color w:val="000000"/>
        </w:rPr>
      </w:pPr>
    </w:p>
    <w:p w14:paraId="5925364C" w14:textId="77777777" w:rsidR="00EA7489" w:rsidRDefault="007205A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Institutional </w:t>
      </w:r>
      <w:r>
        <w:rPr>
          <w:rFonts w:ascii="Arial" w:eastAsia="Arial" w:hAnsi="Arial" w:cs="Arial"/>
          <w:b/>
          <w:color w:val="000000"/>
          <w:u w:val="single"/>
        </w:rPr>
        <w:t xml:space="preserve">Certification </w:t>
      </w:r>
      <w:r>
        <w:rPr>
          <w:rFonts w:ascii="Arial" w:eastAsia="Arial" w:hAnsi="Arial" w:cs="Arial"/>
          <w:b/>
          <w:color w:val="000000"/>
        </w:rPr>
        <w:t>Requirements (ALL must be checked “Yes”)</w:t>
      </w:r>
    </w:p>
    <w:tbl>
      <w:tblPr>
        <w:tblStyle w:val="a5"/>
        <w:tblW w:w="108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1650"/>
        <w:gridCol w:w="9240"/>
      </w:tblGrid>
      <w:tr w:rsidR="00EA7489" w14:paraId="5925364F" w14:textId="77777777" w:rsidTr="007205AB">
        <w:trPr>
          <w:trHeight w:val="50"/>
        </w:trPr>
        <w:tc>
          <w:tcPr>
            <w:tcW w:w="1650" w:type="dxa"/>
            <w:shd w:val="clear" w:color="auto" w:fill="E7E6E6"/>
          </w:tcPr>
          <w:p w14:paraId="5925364D" w14:textId="77777777" w:rsidR="00EA7489" w:rsidRDefault="007205AB">
            <w:pPr>
              <w:spacing w:line="276" w:lineRule="auto"/>
              <w:rPr>
                <w:b/>
              </w:rPr>
            </w:pPr>
            <w:proofErr w:type="gramStart"/>
            <w:r>
              <w:rPr>
                <w:b/>
              </w:rPr>
              <w:t>Yes</w:t>
            </w:r>
            <w:proofErr w:type="gramEnd"/>
            <w:r>
              <w:rPr>
                <w:b/>
              </w:rPr>
              <w:t xml:space="preserve"> or No?</w:t>
            </w:r>
          </w:p>
        </w:tc>
        <w:tc>
          <w:tcPr>
            <w:tcW w:w="9240" w:type="dxa"/>
            <w:shd w:val="clear" w:color="auto" w:fill="E7E6E6"/>
          </w:tcPr>
          <w:p w14:paraId="5925364E" w14:textId="77777777" w:rsidR="00EA7489" w:rsidRDefault="007205AB">
            <w:pPr>
              <w:spacing w:line="276" w:lineRule="auto"/>
              <w:rPr>
                <w:b/>
              </w:rPr>
            </w:pPr>
            <w:r>
              <w:rPr>
                <w:b/>
              </w:rPr>
              <w:t xml:space="preserve">Institutional </w:t>
            </w:r>
            <w:r>
              <w:rPr>
                <w:b/>
                <w:u w:val="single"/>
              </w:rPr>
              <w:t>Certification</w:t>
            </w:r>
            <w:r>
              <w:rPr>
                <w:b/>
              </w:rPr>
              <w:t xml:space="preserve"> Requirement</w:t>
            </w:r>
          </w:p>
        </w:tc>
      </w:tr>
      <w:tr w:rsidR="00EA7489" w14:paraId="59253652" w14:textId="77777777" w:rsidTr="007205AB">
        <w:trPr>
          <w:trHeight w:val="50"/>
        </w:trPr>
        <w:tc>
          <w:tcPr>
            <w:tcW w:w="1650" w:type="dxa"/>
          </w:tcPr>
          <w:p w14:paraId="59253650" w14:textId="77777777" w:rsidR="00EA7489" w:rsidRDefault="00000000">
            <w:pPr>
              <w:spacing w:line="276" w:lineRule="auto"/>
              <w:rPr>
                <w:b/>
              </w:rPr>
            </w:pPr>
            <w:sdt>
              <w:sdtPr>
                <w:tag w:val="goog_rdk_0"/>
                <w:id w:val="-972445128"/>
              </w:sdtPr>
              <w:sdtContent>
                <w:r w:rsidR="007205AB">
                  <w:rPr>
                    <w:rFonts w:ascii="Arial Unicode MS" w:eastAsia="Arial Unicode MS" w:hAnsi="Arial Unicode MS" w:cs="Arial Unicode MS"/>
                  </w:rPr>
                  <w:t>☐</w:t>
                </w:r>
              </w:sdtContent>
            </w:sdt>
            <w:r w:rsidR="007205AB">
              <w:t xml:space="preserve"> Yes  </w:t>
            </w:r>
            <w:sdt>
              <w:sdtPr>
                <w:tag w:val="goog_rdk_1"/>
                <w:id w:val="-2132391969"/>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51" w14:textId="77777777" w:rsidR="00EA7489" w:rsidRDefault="007205AB">
            <w:pPr>
              <w:pBdr>
                <w:top w:val="nil"/>
                <w:left w:val="nil"/>
                <w:bottom w:val="nil"/>
                <w:right w:val="nil"/>
                <w:between w:val="nil"/>
              </w:pBdr>
              <w:spacing w:after="120" w:line="276" w:lineRule="auto"/>
              <w:rPr>
                <w:color w:val="000000"/>
                <w:sz w:val="22"/>
                <w:szCs w:val="22"/>
              </w:rPr>
            </w:pPr>
            <w:r>
              <w:rPr>
                <w:color w:val="000000"/>
                <w:sz w:val="22"/>
                <w:szCs w:val="22"/>
              </w:rPr>
              <w:t>The data submission is consistent, as appropriate, with applicable national, tribal, and state laws and regulations as well as relevant institutional policies.</w:t>
            </w:r>
          </w:p>
        </w:tc>
      </w:tr>
      <w:tr w:rsidR="00EA7489" w14:paraId="59253656" w14:textId="77777777" w:rsidTr="007205AB">
        <w:trPr>
          <w:trHeight w:val="50"/>
        </w:trPr>
        <w:tc>
          <w:tcPr>
            <w:tcW w:w="1650" w:type="dxa"/>
          </w:tcPr>
          <w:p w14:paraId="59253653" w14:textId="77777777" w:rsidR="00EA7489" w:rsidRDefault="00000000">
            <w:pPr>
              <w:spacing w:line="276" w:lineRule="auto"/>
              <w:rPr>
                <w:b/>
              </w:rPr>
            </w:pPr>
            <w:sdt>
              <w:sdtPr>
                <w:tag w:val="goog_rdk_2"/>
                <w:id w:val="-2121991175"/>
              </w:sdtPr>
              <w:sdtContent>
                <w:r w:rsidR="007205AB">
                  <w:rPr>
                    <w:rFonts w:ascii="Arial Unicode MS" w:eastAsia="Arial Unicode MS" w:hAnsi="Arial Unicode MS" w:cs="Arial Unicode MS"/>
                  </w:rPr>
                  <w:t>☐</w:t>
                </w:r>
              </w:sdtContent>
            </w:sdt>
            <w:r w:rsidR="007205AB">
              <w:t xml:space="preserve"> Yes  </w:t>
            </w:r>
            <w:sdt>
              <w:sdtPr>
                <w:tag w:val="goog_rdk_3"/>
                <w:id w:val="-594930760"/>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54" w14:textId="77777777" w:rsidR="00EA7489" w:rsidRDefault="007205AB">
            <w:pPr>
              <w:pBdr>
                <w:top w:val="nil"/>
                <w:left w:val="nil"/>
                <w:bottom w:val="nil"/>
                <w:right w:val="nil"/>
                <w:between w:val="nil"/>
              </w:pBdr>
              <w:spacing w:after="120" w:line="276" w:lineRule="auto"/>
              <w:rPr>
                <w:color w:val="000000"/>
                <w:sz w:val="22"/>
                <w:szCs w:val="22"/>
              </w:rPr>
            </w:pPr>
            <w:r>
              <w:rPr>
                <w:color w:val="000000"/>
                <w:sz w:val="22"/>
                <w:szCs w:val="22"/>
              </w:rPr>
              <w:t xml:space="preserve">Limitations on the research use of the data, as expressed in the informed consent documents, are delineated. </w:t>
            </w:r>
          </w:p>
          <w:p w14:paraId="59253655" w14:textId="77777777" w:rsidR="00EA7489" w:rsidRDefault="00000000">
            <w:pPr>
              <w:pBdr>
                <w:top w:val="nil"/>
                <w:left w:val="nil"/>
                <w:bottom w:val="nil"/>
                <w:right w:val="nil"/>
                <w:between w:val="nil"/>
              </w:pBdr>
              <w:spacing w:after="120" w:line="276" w:lineRule="auto"/>
              <w:rPr>
                <w:b/>
                <w:color w:val="000000"/>
                <w:sz w:val="22"/>
                <w:szCs w:val="22"/>
              </w:rPr>
            </w:pPr>
            <w:sdt>
              <w:sdtPr>
                <w:tag w:val="goog_rdk_4"/>
                <w:id w:val="-710644419"/>
              </w:sdtPr>
              <w:sdtContent>
                <w:r w:rsidR="007205AB">
                  <w:rPr>
                    <w:rFonts w:ascii="Arial Unicode MS" w:eastAsia="Arial Unicode MS" w:hAnsi="Arial Unicode MS" w:cs="Arial Unicode MS"/>
                    <w:color w:val="000000"/>
                    <w:sz w:val="22"/>
                    <w:szCs w:val="22"/>
                  </w:rPr>
                  <w:t>☐</w:t>
                </w:r>
              </w:sdtContent>
            </w:sdt>
            <w:r w:rsidR="007205AB">
              <w:rPr>
                <w:color w:val="000000"/>
                <w:sz w:val="22"/>
                <w:szCs w:val="22"/>
              </w:rPr>
              <w:t xml:space="preserve"> </w:t>
            </w:r>
            <w:r w:rsidR="007205AB">
              <w:rPr>
                <w:b/>
                <w:color w:val="000000"/>
                <w:sz w:val="22"/>
                <w:szCs w:val="22"/>
              </w:rPr>
              <w:t>NA for submission to an unrestricted-access database.</w:t>
            </w:r>
          </w:p>
        </w:tc>
      </w:tr>
      <w:tr w:rsidR="00EA7489" w14:paraId="59253659" w14:textId="77777777" w:rsidTr="007205AB">
        <w:trPr>
          <w:trHeight w:val="50"/>
        </w:trPr>
        <w:tc>
          <w:tcPr>
            <w:tcW w:w="1650" w:type="dxa"/>
          </w:tcPr>
          <w:p w14:paraId="59253657" w14:textId="77777777" w:rsidR="00EA7489" w:rsidRDefault="00000000">
            <w:pPr>
              <w:spacing w:line="276" w:lineRule="auto"/>
              <w:rPr>
                <w:b/>
              </w:rPr>
            </w:pPr>
            <w:sdt>
              <w:sdtPr>
                <w:tag w:val="goog_rdk_5"/>
                <w:id w:val="350304928"/>
              </w:sdtPr>
              <w:sdtContent>
                <w:r w:rsidR="007205AB">
                  <w:rPr>
                    <w:rFonts w:ascii="Arial Unicode MS" w:eastAsia="Arial Unicode MS" w:hAnsi="Arial Unicode MS" w:cs="Arial Unicode MS"/>
                  </w:rPr>
                  <w:t>☐</w:t>
                </w:r>
              </w:sdtContent>
            </w:sdt>
            <w:r w:rsidR="007205AB">
              <w:t xml:space="preserve"> Yes  </w:t>
            </w:r>
            <w:sdt>
              <w:sdtPr>
                <w:tag w:val="goog_rdk_6"/>
                <w:id w:val="1699745702"/>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58" w14:textId="77777777" w:rsidR="00EA7489" w:rsidRDefault="007205AB">
            <w:pPr>
              <w:pBdr>
                <w:top w:val="nil"/>
                <w:left w:val="nil"/>
                <w:bottom w:val="nil"/>
                <w:right w:val="nil"/>
                <w:between w:val="nil"/>
              </w:pBdr>
              <w:spacing w:after="120" w:line="276" w:lineRule="auto"/>
              <w:rPr>
                <w:color w:val="000000"/>
                <w:sz w:val="22"/>
                <w:szCs w:val="22"/>
              </w:rPr>
            </w:pPr>
            <w:r>
              <w:rPr>
                <w:color w:val="000000"/>
                <w:sz w:val="22"/>
                <w:szCs w:val="22"/>
              </w:rPr>
              <w:t>The identities of research participants will not be disclosed to NIH-designated data repositories.</w:t>
            </w:r>
          </w:p>
        </w:tc>
      </w:tr>
      <w:tr w:rsidR="00EA7489" w14:paraId="5925365C" w14:textId="77777777" w:rsidTr="007205AB">
        <w:trPr>
          <w:trHeight w:val="50"/>
        </w:trPr>
        <w:tc>
          <w:tcPr>
            <w:tcW w:w="1650" w:type="dxa"/>
          </w:tcPr>
          <w:p w14:paraId="5925365A" w14:textId="77777777" w:rsidR="00EA7489" w:rsidRDefault="00000000">
            <w:pPr>
              <w:spacing w:line="276" w:lineRule="auto"/>
              <w:rPr>
                <w:b/>
              </w:rPr>
            </w:pPr>
            <w:sdt>
              <w:sdtPr>
                <w:tag w:val="goog_rdk_7"/>
                <w:id w:val="-1423725099"/>
              </w:sdtPr>
              <w:sdtContent>
                <w:r w:rsidR="007205AB">
                  <w:rPr>
                    <w:rFonts w:ascii="Arial Unicode MS" w:eastAsia="Arial Unicode MS" w:hAnsi="Arial Unicode MS" w:cs="Arial Unicode MS"/>
                  </w:rPr>
                  <w:t>☐</w:t>
                </w:r>
              </w:sdtContent>
            </w:sdt>
            <w:r w:rsidR="007205AB">
              <w:t xml:space="preserve"> Yes  </w:t>
            </w:r>
            <w:sdt>
              <w:sdtPr>
                <w:tag w:val="goog_rdk_8"/>
                <w:id w:val="606087137"/>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5B" w14:textId="77777777" w:rsidR="00EA7489" w:rsidRDefault="007205AB">
            <w:pPr>
              <w:pBdr>
                <w:top w:val="nil"/>
                <w:left w:val="nil"/>
                <w:bottom w:val="nil"/>
                <w:right w:val="nil"/>
                <w:between w:val="nil"/>
              </w:pBdr>
              <w:spacing w:after="120" w:line="276" w:lineRule="auto"/>
              <w:ind w:left="288" w:hanging="288"/>
              <w:rPr>
                <w:color w:val="000000"/>
                <w:sz w:val="22"/>
                <w:szCs w:val="22"/>
              </w:rPr>
            </w:pPr>
            <w:r>
              <w:rPr>
                <w:color w:val="000000"/>
                <w:sz w:val="22"/>
                <w:szCs w:val="22"/>
              </w:rPr>
              <w:t>The protocol for collection of genomic and phenotype data is consistent with 45 CFR §46.</w:t>
            </w:r>
          </w:p>
        </w:tc>
      </w:tr>
      <w:tr w:rsidR="00EA7489" w14:paraId="5925365F" w14:textId="77777777" w:rsidTr="007205AB">
        <w:trPr>
          <w:trHeight w:val="50"/>
        </w:trPr>
        <w:tc>
          <w:tcPr>
            <w:tcW w:w="1650" w:type="dxa"/>
          </w:tcPr>
          <w:p w14:paraId="5925365D" w14:textId="77777777" w:rsidR="00EA7489" w:rsidRDefault="00000000">
            <w:pPr>
              <w:spacing w:line="276" w:lineRule="auto"/>
              <w:rPr>
                <w:b/>
              </w:rPr>
            </w:pPr>
            <w:sdt>
              <w:sdtPr>
                <w:tag w:val="goog_rdk_9"/>
                <w:id w:val="1107237375"/>
              </w:sdtPr>
              <w:sdtContent>
                <w:r w:rsidR="007205AB">
                  <w:rPr>
                    <w:rFonts w:ascii="Arial Unicode MS" w:eastAsia="Arial Unicode MS" w:hAnsi="Arial Unicode MS" w:cs="Arial Unicode MS"/>
                  </w:rPr>
                  <w:t>☐</w:t>
                </w:r>
              </w:sdtContent>
            </w:sdt>
            <w:r w:rsidR="007205AB">
              <w:t xml:space="preserve"> Yes  </w:t>
            </w:r>
            <w:sdt>
              <w:sdtPr>
                <w:tag w:val="goog_rdk_10"/>
                <w:id w:val="-1856025378"/>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5E" w14:textId="77777777" w:rsidR="00EA7489" w:rsidRDefault="007205AB">
            <w:pPr>
              <w:spacing w:line="276" w:lineRule="auto"/>
            </w:pPr>
            <w:r>
              <w:t>Data submission and subsequent data sharing for research purposes are consistent with the informed consent and explicitly disclosed to study participants from whom the data were or will be obtained.</w:t>
            </w:r>
            <w:r>
              <w:rPr>
                <w:vertAlign w:val="superscript"/>
              </w:rPr>
              <w:t xml:space="preserve"> </w:t>
            </w:r>
            <w:r>
              <w:rPr>
                <w:vertAlign w:val="superscript"/>
              </w:rPr>
              <w:footnoteReference w:id="1"/>
            </w:r>
          </w:p>
        </w:tc>
      </w:tr>
      <w:tr w:rsidR="00EA7489" w14:paraId="59253662" w14:textId="77777777" w:rsidTr="007205AB">
        <w:trPr>
          <w:trHeight w:val="50"/>
        </w:trPr>
        <w:tc>
          <w:tcPr>
            <w:tcW w:w="1650" w:type="dxa"/>
          </w:tcPr>
          <w:p w14:paraId="59253660" w14:textId="77777777" w:rsidR="00EA7489" w:rsidRDefault="00000000">
            <w:pPr>
              <w:spacing w:line="276" w:lineRule="auto"/>
            </w:pPr>
            <w:sdt>
              <w:sdtPr>
                <w:tag w:val="goog_rdk_11"/>
                <w:id w:val="1389066810"/>
              </w:sdtPr>
              <w:sdtContent>
                <w:r w:rsidR="007205AB">
                  <w:rPr>
                    <w:rFonts w:ascii="Arial Unicode MS" w:eastAsia="Arial Unicode MS" w:hAnsi="Arial Unicode MS" w:cs="Arial Unicode MS"/>
                  </w:rPr>
                  <w:t>☐</w:t>
                </w:r>
              </w:sdtContent>
            </w:sdt>
            <w:r w:rsidR="007205AB">
              <w:t xml:space="preserve"> Yes  </w:t>
            </w:r>
            <w:sdt>
              <w:sdtPr>
                <w:tag w:val="goog_rdk_12"/>
                <w:id w:val="1271044809"/>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61" w14:textId="77777777" w:rsidR="00EA7489" w:rsidRDefault="007205AB">
            <w:pPr>
              <w:spacing w:line="276" w:lineRule="auto"/>
            </w:pPr>
            <w:r>
              <w:t>Consideration was given to risks to individual participants and their families associated with the data submitted to NIH-designated data repositories and subsequent sharing, including unrestricted access to genomic summary results.</w:t>
            </w:r>
          </w:p>
        </w:tc>
      </w:tr>
      <w:tr w:rsidR="00EA7489" w14:paraId="59253665" w14:textId="77777777" w:rsidTr="007205AB">
        <w:trPr>
          <w:trHeight w:val="50"/>
        </w:trPr>
        <w:tc>
          <w:tcPr>
            <w:tcW w:w="1650" w:type="dxa"/>
          </w:tcPr>
          <w:p w14:paraId="59253663" w14:textId="77777777" w:rsidR="00EA7489" w:rsidRDefault="00000000">
            <w:pPr>
              <w:spacing w:line="276" w:lineRule="auto"/>
            </w:pPr>
            <w:sdt>
              <w:sdtPr>
                <w:tag w:val="goog_rdk_13"/>
                <w:id w:val="1724710834"/>
              </w:sdtPr>
              <w:sdtContent>
                <w:r w:rsidR="007205AB">
                  <w:rPr>
                    <w:rFonts w:ascii="Arial Unicode MS" w:eastAsia="Arial Unicode MS" w:hAnsi="Arial Unicode MS" w:cs="Arial Unicode MS"/>
                  </w:rPr>
                  <w:t>☐</w:t>
                </w:r>
              </w:sdtContent>
            </w:sdt>
            <w:r w:rsidR="007205AB">
              <w:t xml:space="preserve"> Yes  </w:t>
            </w:r>
            <w:sdt>
              <w:sdtPr>
                <w:tag w:val="goog_rdk_14"/>
                <w:id w:val="-1076902312"/>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64" w14:textId="77777777" w:rsidR="00EA7489" w:rsidRDefault="007205AB">
            <w:pPr>
              <w:spacing w:line="276" w:lineRule="auto"/>
            </w:pPr>
            <w:r>
              <w:t>To the extent relevant and possible, consideration was given to risks to groups or populations associated with submitting data to NIH-designated data repositories and subsequent sharing, including unrestricted access to genomic summary results.</w:t>
            </w:r>
          </w:p>
        </w:tc>
      </w:tr>
      <w:tr w:rsidR="00EA7489" w14:paraId="59253668" w14:textId="77777777" w:rsidTr="007205AB">
        <w:trPr>
          <w:trHeight w:val="50"/>
        </w:trPr>
        <w:tc>
          <w:tcPr>
            <w:tcW w:w="1650" w:type="dxa"/>
          </w:tcPr>
          <w:p w14:paraId="59253666" w14:textId="77777777" w:rsidR="00EA7489" w:rsidRDefault="00000000">
            <w:pPr>
              <w:spacing w:line="276" w:lineRule="auto"/>
            </w:pPr>
            <w:sdt>
              <w:sdtPr>
                <w:tag w:val="goog_rdk_15"/>
                <w:id w:val="-1848623265"/>
              </w:sdtPr>
              <w:sdtContent>
                <w:r w:rsidR="007205AB">
                  <w:rPr>
                    <w:rFonts w:ascii="Arial Unicode MS" w:eastAsia="Arial Unicode MS" w:hAnsi="Arial Unicode MS" w:cs="Arial Unicode MS"/>
                  </w:rPr>
                  <w:t>☐</w:t>
                </w:r>
              </w:sdtContent>
            </w:sdt>
            <w:r w:rsidR="007205AB">
              <w:t xml:space="preserve"> Yes  </w:t>
            </w:r>
            <w:sdt>
              <w:sdtPr>
                <w:tag w:val="goog_rdk_16"/>
                <w:id w:val="-2084896346"/>
              </w:sdtPr>
              <w:sdtContent>
                <w:r w:rsidR="007205AB">
                  <w:rPr>
                    <w:rFonts w:ascii="Arial Unicode MS" w:eastAsia="Arial Unicode MS" w:hAnsi="Arial Unicode MS" w:cs="Arial Unicode MS"/>
                  </w:rPr>
                  <w:t>☐</w:t>
                </w:r>
              </w:sdtContent>
            </w:sdt>
            <w:r w:rsidR="007205AB">
              <w:t xml:space="preserve"> No</w:t>
            </w:r>
          </w:p>
        </w:tc>
        <w:tc>
          <w:tcPr>
            <w:tcW w:w="9240" w:type="dxa"/>
          </w:tcPr>
          <w:p w14:paraId="59253667" w14:textId="77777777" w:rsidR="00EA7489" w:rsidRDefault="007205AB">
            <w:pPr>
              <w:spacing w:line="276" w:lineRule="auto"/>
            </w:pPr>
            <w:r>
              <w:t>The investigator’s plan for de-identifying datasets is consistent with the standards outlined in Section IV.C.1 of the NIH Final Genomic Data Sharing Policy. (</w:t>
            </w:r>
            <w:hyperlink r:id="rId8">
              <w:r>
                <w:rPr>
                  <w:color w:val="0563C1"/>
                  <w:u w:val="single"/>
                </w:rPr>
                <w:t>https://grants.nih.gov/grants/guide/notice-files/NOT-OD-14-124.html</w:t>
              </w:r>
            </w:hyperlink>
            <w:r>
              <w:t>)</w:t>
            </w:r>
          </w:p>
        </w:tc>
      </w:tr>
    </w:tbl>
    <w:p w14:paraId="59253669" w14:textId="77777777" w:rsidR="00EA7489" w:rsidRDefault="007205AB">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If you cannot select “Yes” to all items above, then stop. You cannot certify that the data submission criteria have been met. Communicate with the investigator to let her or him know that you cannot proceed with the Institutional </w:t>
      </w:r>
      <w:r>
        <w:rPr>
          <w:rFonts w:ascii="Arial" w:eastAsia="Arial" w:hAnsi="Arial" w:cs="Arial"/>
          <w:color w:val="000000"/>
          <w:u w:val="single"/>
        </w:rPr>
        <w:t>Certification</w:t>
      </w:r>
      <w:r>
        <w:rPr>
          <w:rFonts w:ascii="Arial" w:eastAsia="Arial" w:hAnsi="Arial" w:cs="Arial"/>
          <w:color w:val="000000"/>
        </w:rPr>
        <w:t xml:space="preserve"> process without changes to the investigator’s data sharing plan.</w:t>
      </w:r>
    </w:p>
    <w:p w14:paraId="5925366A" w14:textId="77777777" w:rsidR="00EA7489" w:rsidRDefault="007205A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lastRenderedPageBreak/>
        <w:t>Unrestricted- or Controlled-Access Database</w:t>
      </w:r>
    </w:p>
    <w:p w14:paraId="5925366B" w14:textId="77777777" w:rsidR="00EA7489" w:rsidRDefault="007205AB">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t>Choose the type of database to which the investigator will submit:</w:t>
      </w:r>
    </w:p>
    <w:p w14:paraId="5925366C" w14:textId="77777777" w:rsidR="00EA7489" w:rsidRDefault="00000000">
      <w:pPr>
        <w:pBdr>
          <w:top w:val="nil"/>
          <w:left w:val="nil"/>
          <w:bottom w:val="nil"/>
          <w:right w:val="nil"/>
          <w:between w:val="nil"/>
        </w:pBdr>
        <w:spacing w:after="120" w:line="324" w:lineRule="auto"/>
        <w:ind w:left="288" w:hanging="288"/>
        <w:rPr>
          <w:rFonts w:ascii="Arial" w:eastAsia="Arial" w:hAnsi="Arial" w:cs="Arial"/>
          <w:color w:val="000000"/>
        </w:rPr>
      </w:pPr>
      <w:sdt>
        <w:sdtPr>
          <w:tag w:val="goog_rdk_17"/>
          <w:id w:val="-1858190356"/>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Unrestricted-Access Database</w:t>
      </w:r>
      <w:r w:rsidR="007205AB">
        <w:rPr>
          <w:rFonts w:ascii="Arial" w:eastAsia="Arial" w:hAnsi="Arial" w:cs="Arial"/>
          <w:color w:val="000000"/>
          <w:vertAlign w:val="superscript"/>
        </w:rPr>
        <w:footnoteReference w:id="2"/>
      </w:r>
      <w:r w:rsidR="007205AB">
        <w:rPr>
          <w:rFonts w:ascii="Arial" w:eastAsia="Arial" w:hAnsi="Arial" w:cs="Arial"/>
          <w:color w:val="000000"/>
        </w:rPr>
        <w:tab/>
      </w:r>
      <w:sdt>
        <w:sdtPr>
          <w:tag w:val="goog_rdk_18"/>
          <w:id w:val="-947770206"/>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Controlled-Access Database</w:t>
      </w:r>
      <w:r w:rsidR="007205AB">
        <w:rPr>
          <w:rFonts w:ascii="Arial" w:eastAsia="Arial" w:hAnsi="Arial" w:cs="Arial"/>
          <w:color w:val="000000"/>
          <w:vertAlign w:val="superscript"/>
        </w:rPr>
        <w:footnoteReference w:id="3"/>
      </w:r>
    </w:p>
    <w:p w14:paraId="5925366D" w14:textId="77777777" w:rsidR="00EA7489" w:rsidRDefault="007205AB">
      <w:pPr>
        <w:pBdr>
          <w:top w:val="nil"/>
          <w:left w:val="nil"/>
          <w:bottom w:val="nil"/>
          <w:right w:val="nil"/>
          <w:between w:val="nil"/>
        </w:pBdr>
        <w:spacing w:after="0" w:line="324" w:lineRule="auto"/>
        <w:ind w:left="288"/>
        <w:rPr>
          <w:rFonts w:ascii="Arial" w:eastAsia="Arial" w:hAnsi="Arial" w:cs="Arial"/>
          <w:color w:val="000000"/>
        </w:rPr>
      </w:pPr>
      <w:r>
        <w:rPr>
          <w:rFonts w:ascii="Arial" w:eastAsia="Arial" w:hAnsi="Arial" w:cs="Arial"/>
          <w:b/>
          <w:color w:val="000000"/>
        </w:rPr>
        <w:t>Check if applies:</w:t>
      </w:r>
      <w:r>
        <w:rPr>
          <w:rFonts w:ascii="Arial" w:eastAsia="Arial" w:hAnsi="Arial" w:cs="Arial"/>
          <w:color w:val="000000"/>
        </w:rPr>
        <w:t xml:space="preserve"> </w:t>
      </w:r>
    </w:p>
    <w:p w14:paraId="5925366E" w14:textId="77777777" w:rsidR="00EA7489" w:rsidRDefault="00000000">
      <w:pPr>
        <w:pBdr>
          <w:top w:val="nil"/>
          <w:left w:val="nil"/>
          <w:bottom w:val="nil"/>
          <w:right w:val="nil"/>
          <w:between w:val="nil"/>
        </w:pBdr>
        <w:spacing w:after="0" w:line="324" w:lineRule="auto"/>
        <w:ind w:left="288"/>
        <w:rPr>
          <w:rFonts w:ascii="Arial" w:eastAsia="Arial" w:hAnsi="Arial" w:cs="Arial"/>
          <w:color w:val="000000"/>
        </w:rPr>
      </w:pPr>
      <w:sdt>
        <w:sdtPr>
          <w:tag w:val="goog_rdk_19"/>
          <w:id w:val="1913574391"/>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Sensitive genomic summary results</w:t>
      </w:r>
      <w:r w:rsidR="007205AB">
        <w:rPr>
          <w:rFonts w:ascii="Arial" w:eastAsia="Arial" w:hAnsi="Arial" w:cs="Arial"/>
          <w:color w:val="000000"/>
          <w:vertAlign w:val="superscript"/>
        </w:rPr>
        <w:footnoteReference w:id="4"/>
      </w:r>
      <w:r w:rsidR="007205AB">
        <w:rPr>
          <w:rFonts w:ascii="Arial" w:eastAsia="Arial" w:hAnsi="Arial" w:cs="Arial"/>
          <w:color w:val="000000"/>
        </w:rPr>
        <w:t xml:space="preserve"> are only to be made available through </w:t>
      </w:r>
      <w:proofErr w:type="gramStart"/>
      <w:r w:rsidR="007205AB">
        <w:rPr>
          <w:rFonts w:ascii="Arial" w:eastAsia="Arial" w:hAnsi="Arial" w:cs="Arial"/>
          <w:color w:val="000000"/>
        </w:rPr>
        <w:t>controlled-access</w:t>
      </w:r>
      <w:proofErr w:type="gramEnd"/>
      <w:r w:rsidR="007205AB">
        <w:rPr>
          <w:rFonts w:ascii="Arial" w:eastAsia="Arial" w:hAnsi="Arial" w:cs="Arial"/>
          <w:color w:val="000000"/>
        </w:rPr>
        <w:t>.</w:t>
      </w:r>
    </w:p>
    <w:p w14:paraId="5925366F" w14:textId="77777777" w:rsidR="00EA7489" w:rsidRDefault="007205AB">
      <w:pPr>
        <w:pBdr>
          <w:top w:val="nil"/>
          <w:left w:val="nil"/>
          <w:bottom w:val="nil"/>
          <w:right w:val="nil"/>
          <w:between w:val="nil"/>
        </w:pBdr>
        <w:spacing w:after="120" w:line="324" w:lineRule="auto"/>
        <w:ind w:left="576" w:hanging="288"/>
        <w:rPr>
          <w:rFonts w:ascii="Arial" w:eastAsia="Arial" w:hAnsi="Arial" w:cs="Arial"/>
          <w:color w:val="000000"/>
        </w:rPr>
      </w:pPr>
      <w:r>
        <w:rPr>
          <w:rFonts w:ascii="Arial" w:eastAsia="Arial" w:hAnsi="Arial" w:cs="Arial"/>
          <w:color w:val="000000"/>
        </w:rPr>
        <w:t>Explanation: Click or tap here to enter text.</w:t>
      </w:r>
    </w:p>
    <w:p w14:paraId="59253670" w14:textId="77777777" w:rsidR="00EA7489" w:rsidRDefault="007205AB">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t>If Controlled-Access Database selected above, specify one of the data use limitations</w:t>
      </w:r>
      <w:r>
        <w:rPr>
          <w:rFonts w:ascii="Arial" w:eastAsia="Arial" w:hAnsi="Arial" w:cs="Arial"/>
          <w:b/>
          <w:color w:val="000000"/>
          <w:vertAlign w:val="superscript"/>
        </w:rPr>
        <w:footnoteReference w:id="5"/>
      </w:r>
      <w:r>
        <w:rPr>
          <w:rFonts w:ascii="Arial" w:eastAsia="Arial" w:hAnsi="Arial" w:cs="Arial"/>
          <w:b/>
          <w:color w:val="000000"/>
        </w:rPr>
        <w:t xml:space="preserve"> below for appropriate secondary use. These limitations must be included in the GDS Institutional Certification to the NIH.</w:t>
      </w:r>
    </w:p>
    <w:p w14:paraId="59253671" w14:textId="77777777" w:rsidR="00EA7489" w:rsidRDefault="00000000">
      <w:pPr>
        <w:pBdr>
          <w:top w:val="nil"/>
          <w:left w:val="nil"/>
          <w:bottom w:val="nil"/>
          <w:right w:val="nil"/>
          <w:between w:val="nil"/>
        </w:pBdr>
        <w:spacing w:after="0" w:line="276" w:lineRule="auto"/>
        <w:ind w:left="288" w:hanging="288"/>
        <w:rPr>
          <w:rFonts w:ascii="Arial" w:eastAsia="Arial" w:hAnsi="Arial" w:cs="Arial"/>
          <w:color w:val="000000"/>
        </w:rPr>
      </w:pPr>
      <w:sdt>
        <w:sdtPr>
          <w:tag w:val="goog_rdk_20"/>
          <w:id w:val="-1875684762"/>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General Research Use: Use of the data is limited only by the terms of the Data Use Certification: these data will be added to the </w:t>
      </w:r>
      <w:hyperlink r:id="rId9">
        <w:proofErr w:type="spellStart"/>
        <w:r w:rsidR="007205AB">
          <w:rPr>
            <w:rFonts w:ascii="Arial" w:eastAsia="Arial" w:hAnsi="Arial" w:cs="Arial"/>
            <w:color w:val="0563C1"/>
            <w:u w:val="single"/>
          </w:rPr>
          <w:t>dbGaP</w:t>
        </w:r>
        <w:proofErr w:type="spellEnd"/>
        <w:r w:rsidR="007205AB">
          <w:rPr>
            <w:rFonts w:ascii="Arial" w:eastAsia="Arial" w:hAnsi="Arial" w:cs="Arial"/>
            <w:color w:val="0563C1"/>
            <w:u w:val="single"/>
          </w:rPr>
          <w:t xml:space="preserve"> Collection</w:t>
        </w:r>
      </w:hyperlink>
      <w:r w:rsidR="007205AB">
        <w:rPr>
          <w:rFonts w:ascii="Arial" w:eastAsia="Arial" w:hAnsi="Arial" w:cs="Arial"/>
          <w:color w:val="000000"/>
        </w:rPr>
        <w:t>.</w:t>
      </w:r>
    </w:p>
    <w:p w14:paraId="59253672" w14:textId="77777777" w:rsidR="00EA7489" w:rsidRDefault="00000000">
      <w:pPr>
        <w:pBdr>
          <w:top w:val="nil"/>
          <w:left w:val="nil"/>
          <w:bottom w:val="nil"/>
          <w:right w:val="nil"/>
          <w:between w:val="nil"/>
        </w:pBdr>
        <w:spacing w:after="0" w:line="276" w:lineRule="auto"/>
        <w:ind w:left="288" w:hanging="288"/>
        <w:rPr>
          <w:rFonts w:ascii="Arial" w:eastAsia="Arial" w:hAnsi="Arial" w:cs="Arial"/>
          <w:color w:val="000000"/>
        </w:rPr>
      </w:pPr>
      <w:sdt>
        <w:sdtPr>
          <w:tag w:val="goog_rdk_21"/>
          <w:id w:val="1817918672"/>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Health/Medical/Biomedical: Use of the data is limited to health/medical/biomedical purposes, does not include the study of population origins or ancestry.</w:t>
      </w:r>
    </w:p>
    <w:p w14:paraId="59253673" w14:textId="77777777" w:rsidR="00EA748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1086576321"/>
        </w:sdtPr>
        <w:sdtContent>
          <w:r w:rsidR="007205AB">
            <w:rPr>
              <w:rFonts w:ascii="Arial Unicode MS" w:eastAsia="Arial Unicode MS" w:hAnsi="Arial Unicode MS" w:cs="Arial Unicode MS"/>
              <w:color w:val="000000"/>
            </w:rPr>
            <w:t>☐</w:t>
          </w:r>
        </w:sdtContent>
      </w:sdt>
      <w:r w:rsidR="007205AB">
        <w:rPr>
          <w:rFonts w:ascii="Arial" w:eastAsia="Arial" w:hAnsi="Arial" w:cs="Arial"/>
          <w:color w:val="000000"/>
        </w:rPr>
        <w:t xml:space="preserve"> Disease-specific: Use of the data must be related to the specific disease.</w:t>
      </w:r>
    </w:p>
    <w:p w14:paraId="59253674" w14:textId="77777777" w:rsidR="00EA7489" w:rsidRDefault="007205AB">
      <w:pPr>
        <w:pBdr>
          <w:top w:val="nil"/>
          <w:left w:val="nil"/>
          <w:bottom w:val="nil"/>
          <w:right w:val="nil"/>
          <w:between w:val="nil"/>
        </w:pBdr>
        <w:spacing w:after="120" w:line="276" w:lineRule="auto"/>
        <w:ind w:left="288"/>
        <w:rPr>
          <w:rFonts w:ascii="Arial" w:eastAsia="Arial" w:hAnsi="Arial" w:cs="Arial"/>
          <w:color w:val="000000"/>
        </w:rPr>
      </w:pPr>
      <w:r>
        <w:rPr>
          <w:rFonts w:ascii="Arial" w:eastAsia="Arial" w:hAnsi="Arial" w:cs="Arial"/>
          <w:color w:val="000000"/>
        </w:rPr>
        <w:t>List disease: Click or tap here to enter text.</w:t>
      </w:r>
    </w:p>
    <w:p w14:paraId="59253675" w14:textId="77777777" w:rsidR="00EA7489" w:rsidRDefault="007205AB">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Other: Click or tap here to enter text.</w:t>
      </w:r>
    </w:p>
    <w:p w14:paraId="59253676" w14:textId="77777777" w:rsidR="00EA7489" w:rsidRDefault="007205AB">
      <w:pPr>
        <w:pBdr>
          <w:top w:val="nil"/>
          <w:left w:val="nil"/>
          <w:bottom w:val="nil"/>
          <w:right w:val="nil"/>
          <w:between w:val="nil"/>
        </w:pBdr>
        <w:spacing w:after="120" w:line="324" w:lineRule="auto"/>
        <w:rPr>
          <w:rFonts w:ascii="Arial" w:eastAsia="Arial" w:hAnsi="Arial" w:cs="Arial"/>
          <w:b/>
          <w:color w:val="000000"/>
        </w:rPr>
      </w:pPr>
      <w:r>
        <w:rPr>
          <w:rFonts w:ascii="Arial" w:eastAsia="Arial" w:hAnsi="Arial" w:cs="Arial"/>
          <w:b/>
          <w:color w:val="000000"/>
        </w:rPr>
        <w:t xml:space="preserve">Additional modifiers, if appropriate (check all that apply): </w:t>
      </w:r>
    </w:p>
    <w:tbl>
      <w:tblPr>
        <w:tblStyle w:val="a6"/>
        <w:tblW w:w="1080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1860"/>
        <w:gridCol w:w="1830"/>
        <w:gridCol w:w="1980"/>
        <w:gridCol w:w="1665"/>
        <w:gridCol w:w="1860"/>
        <w:gridCol w:w="1605"/>
      </w:tblGrid>
      <w:tr w:rsidR="00EA7489" w14:paraId="5925367D" w14:textId="77777777" w:rsidTr="007205AB">
        <w:tc>
          <w:tcPr>
            <w:tcW w:w="1860" w:type="dxa"/>
          </w:tcPr>
          <w:p w14:paraId="59253677" w14:textId="77777777" w:rsidR="00EA7489" w:rsidRDefault="00000000">
            <w:sdt>
              <w:sdtPr>
                <w:tag w:val="goog_rdk_23"/>
                <w:id w:val="459934910"/>
              </w:sdtPr>
              <w:sdtContent>
                <w:r w:rsidR="007205AB">
                  <w:rPr>
                    <w:rFonts w:ascii="Arial Unicode MS" w:eastAsia="Arial Unicode MS" w:hAnsi="Arial Unicode MS" w:cs="Arial Unicode MS"/>
                  </w:rPr>
                  <w:t>☐</w:t>
                </w:r>
              </w:sdtContent>
            </w:sdt>
            <w:r w:rsidR="007205AB">
              <w:t xml:space="preserve"> IRB Approval Required</w:t>
            </w:r>
          </w:p>
        </w:tc>
        <w:tc>
          <w:tcPr>
            <w:tcW w:w="1830" w:type="dxa"/>
          </w:tcPr>
          <w:p w14:paraId="59253678" w14:textId="77777777" w:rsidR="00EA7489" w:rsidRDefault="00000000">
            <w:sdt>
              <w:sdtPr>
                <w:tag w:val="goog_rdk_24"/>
                <w:id w:val="248861734"/>
              </w:sdtPr>
              <w:sdtContent>
                <w:r w:rsidR="007205AB">
                  <w:rPr>
                    <w:rFonts w:ascii="Arial Unicode MS" w:eastAsia="Arial Unicode MS" w:hAnsi="Arial Unicode MS" w:cs="Arial Unicode MS"/>
                  </w:rPr>
                  <w:t>☐</w:t>
                </w:r>
              </w:sdtContent>
            </w:sdt>
            <w:r w:rsidR="007205AB">
              <w:t xml:space="preserve"> Publication Required</w:t>
            </w:r>
          </w:p>
        </w:tc>
        <w:tc>
          <w:tcPr>
            <w:tcW w:w="1980" w:type="dxa"/>
          </w:tcPr>
          <w:p w14:paraId="59253679" w14:textId="77777777" w:rsidR="00EA7489" w:rsidRDefault="00000000">
            <w:sdt>
              <w:sdtPr>
                <w:tag w:val="goog_rdk_25"/>
                <w:id w:val="-1701850780"/>
              </w:sdtPr>
              <w:sdtContent>
                <w:r w:rsidR="007205AB">
                  <w:rPr>
                    <w:rFonts w:ascii="Arial Unicode MS" w:eastAsia="Arial Unicode MS" w:hAnsi="Arial Unicode MS" w:cs="Arial Unicode MS"/>
                  </w:rPr>
                  <w:t>☐</w:t>
                </w:r>
              </w:sdtContent>
            </w:sdt>
            <w:r w:rsidR="007205AB">
              <w:t xml:space="preserve"> Collaboration Required</w:t>
            </w:r>
          </w:p>
        </w:tc>
        <w:tc>
          <w:tcPr>
            <w:tcW w:w="1665" w:type="dxa"/>
          </w:tcPr>
          <w:p w14:paraId="5925367A" w14:textId="77777777" w:rsidR="00EA7489" w:rsidRDefault="00000000">
            <w:sdt>
              <w:sdtPr>
                <w:tag w:val="goog_rdk_26"/>
                <w:id w:val="1649553850"/>
              </w:sdtPr>
              <w:sdtContent>
                <w:r w:rsidR="007205AB">
                  <w:rPr>
                    <w:rFonts w:ascii="Arial Unicode MS" w:eastAsia="Arial Unicode MS" w:hAnsi="Arial Unicode MS" w:cs="Arial Unicode MS"/>
                  </w:rPr>
                  <w:t>☐</w:t>
                </w:r>
              </w:sdtContent>
            </w:sdt>
            <w:r w:rsidR="007205AB">
              <w:t xml:space="preserve"> Not-for- profit Use Only</w:t>
            </w:r>
          </w:p>
        </w:tc>
        <w:tc>
          <w:tcPr>
            <w:tcW w:w="1860" w:type="dxa"/>
          </w:tcPr>
          <w:p w14:paraId="5925367B" w14:textId="77777777" w:rsidR="00EA7489" w:rsidRDefault="00000000">
            <w:sdt>
              <w:sdtPr>
                <w:tag w:val="goog_rdk_27"/>
                <w:id w:val="-196386665"/>
              </w:sdtPr>
              <w:sdtContent>
                <w:r w:rsidR="007205AB">
                  <w:rPr>
                    <w:rFonts w:ascii="Arial Unicode MS" w:eastAsia="Arial Unicode MS" w:hAnsi="Arial Unicode MS" w:cs="Arial Unicode MS"/>
                  </w:rPr>
                  <w:t>☐</w:t>
                </w:r>
              </w:sdtContent>
            </w:sdt>
            <w:r w:rsidR="007205AB">
              <w:t xml:space="preserve"> Methods Development Research</w:t>
            </w:r>
          </w:p>
        </w:tc>
        <w:tc>
          <w:tcPr>
            <w:tcW w:w="1605" w:type="dxa"/>
          </w:tcPr>
          <w:p w14:paraId="5925367C" w14:textId="77777777" w:rsidR="00EA7489" w:rsidRDefault="00000000">
            <w:sdt>
              <w:sdtPr>
                <w:tag w:val="goog_rdk_28"/>
                <w:id w:val="-764990439"/>
              </w:sdtPr>
              <w:sdtContent>
                <w:r w:rsidR="007205AB">
                  <w:rPr>
                    <w:rFonts w:ascii="Arial Unicode MS" w:eastAsia="Arial Unicode MS" w:hAnsi="Arial Unicode MS" w:cs="Arial Unicode MS"/>
                  </w:rPr>
                  <w:t>☐</w:t>
                </w:r>
              </w:sdtContent>
            </w:sdt>
            <w:r w:rsidR="007205AB">
              <w:t xml:space="preserve"> Genetic Studies Only</w:t>
            </w:r>
          </w:p>
        </w:tc>
      </w:tr>
    </w:tbl>
    <w:p w14:paraId="5925367E" w14:textId="77777777" w:rsidR="00EA7489" w:rsidRDefault="00EA7489">
      <w:pPr>
        <w:pBdr>
          <w:top w:val="nil"/>
          <w:left w:val="nil"/>
          <w:bottom w:val="nil"/>
          <w:right w:val="nil"/>
          <w:between w:val="nil"/>
        </w:pBdr>
        <w:spacing w:after="120" w:line="324" w:lineRule="auto"/>
        <w:ind w:left="1728" w:hanging="288"/>
        <w:rPr>
          <w:rFonts w:ascii="Arial" w:eastAsia="Arial" w:hAnsi="Arial" w:cs="Arial"/>
          <w:color w:val="000000"/>
        </w:rPr>
      </w:pPr>
    </w:p>
    <w:sectPr w:rsidR="00EA7489">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23A9" w14:textId="77777777" w:rsidR="006C0FA2" w:rsidRDefault="006C0FA2">
      <w:pPr>
        <w:spacing w:after="0" w:line="240" w:lineRule="auto"/>
      </w:pPr>
      <w:r>
        <w:separator/>
      </w:r>
    </w:p>
  </w:endnote>
  <w:endnote w:type="continuationSeparator" w:id="0">
    <w:p w14:paraId="2D99DB65" w14:textId="77777777" w:rsidR="006C0FA2" w:rsidRDefault="006C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399C" w14:textId="77777777" w:rsidR="00A547BD" w:rsidRDefault="00A54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680" w14:textId="3C2A0A60" w:rsidR="00EA7489" w:rsidRDefault="007205AB">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9253681" w14:textId="77777777" w:rsidR="00EA7489" w:rsidRDefault="00EA7489">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684" w14:textId="757E444B" w:rsidR="00EA7489" w:rsidRDefault="007205AB">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9253685" w14:textId="77777777" w:rsidR="00EA7489" w:rsidRDefault="00EA7489">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A826" w14:textId="77777777" w:rsidR="006C0FA2" w:rsidRDefault="006C0FA2">
      <w:pPr>
        <w:spacing w:after="0" w:line="240" w:lineRule="auto"/>
      </w:pPr>
      <w:r>
        <w:separator/>
      </w:r>
    </w:p>
  </w:footnote>
  <w:footnote w:type="continuationSeparator" w:id="0">
    <w:p w14:paraId="3523FD26" w14:textId="77777777" w:rsidR="006C0FA2" w:rsidRDefault="006C0FA2">
      <w:pPr>
        <w:spacing w:after="0" w:line="240" w:lineRule="auto"/>
      </w:pPr>
      <w:r>
        <w:continuationSeparator/>
      </w:r>
    </w:p>
  </w:footnote>
  <w:footnote w:id="1">
    <w:p w14:paraId="59253688" w14:textId="77777777" w:rsidR="00EA7489" w:rsidRDefault="007205AB">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studies using data from specimens collected before the effective date of the GDS Policy, January 25, 2015, review should ensure the data submission is not </w:t>
      </w:r>
      <w:r>
        <w:rPr>
          <w:rFonts w:ascii="Arial" w:eastAsia="Arial" w:hAnsi="Arial" w:cs="Arial"/>
          <w:i/>
          <w:color w:val="000000"/>
          <w:sz w:val="18"/>
          <w:szCs w:val="18"/>
        </w:rPr>
        <w:t>inconsistent</w:t>
      </w:r>
      <w:r>
        <w:rPr>
          <w:rFonts w:ascii="Arial" w:eastAsia="Arial" w:hAnsi="Arial" w:cs="Arial"/>
          <w:color w:val="000000"/>
          <w:sz w:val="18"/>
          <w:szCs w:val="18"/>
        </w:rPr>
        <w:t xml:space="preserve"> with the informed consent provided by the research participant. NIH will accept data derived from de-identified cell lines or clinical specimens lacking consent for research use that were created or collected before the effective date of the GDS Policy. After the Policy effective date, NIH expects </w:t>
      </w:r>
      <w:r>
        <w:rPr>
          <w:rFonts w:ascii="Arial" w:eastAsia="Arial" w:hAnsi="Arial" w:cs="Arial"/>
          <w:i/>
          <w:color w:val="000000"/>
          <w:sz w:val="18"/>
          <w:szCs w:val="18"/>
        </w:rPr>
        <w:t>explicit</w:t>
      </w:r>
      <w:r>
        <w:rPr>
          <w:rFonts w:ascii="Arial" w:eastAsia="Arial" w:hAnsi="Arial" w:cs="Arial"/>
          <w:color w:val="000000"/>
          <w:sz w:val="18"/>
          <w:szCs w:val="18"/>
        </w:rPr>
        <w:t xml:space="preserve"> consent for broad sharing and for data that will be submitted to unrestricted-access data repositories. </w:t>
      </w:r>
      <w:hyperlink r:id="rId1">
        <w:r>
          <w:rPr>
            <w:rFonts w:ascii="Arial" w:eastAsia="Arial" w:hAnsi="Arial" w:cs="Arial"/>
            <w:color w:val="0563C1"/>
            <w:sz w:val="18"/>
            <w:szCs w:val="18"/>
            <w:u w:val="single"/>
          </w:rPr>
          <w:t>https://grants.nih.gov/grants/guide/notice-files/NOT-OD-14-124.html</w:t>
        </w:r>
      </w:hyperlink>
    </w:p>
  </w:footnote>
  <w:footnote w:id="2">
    <w:p w14:paraId="59253689" w14:textId="77777777" w:rsidR="00EA7489" w:rsidRDefault="007205AB">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Data made publicly available to anyone.</w:t>
      </w:r>
    </w:p>
  </w:footnote>
  <w:footnote w:id="3">
    <w:p w14:paraId="5925368A" w14:textId="77777777" w:rsidR="00EA7489" w:rsidRDefault="007205AB">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Data made available for secondary research only after investigators have obtained approval from NIH to use the requested data for a particular project.</w:t>
      </w:r>
    </w:p>
  </w:footnote>
  <w:footnote w:id="4">
    <w:p w14:paraId="5925368B" w14:textId="77777777" w:rsidR="00EA7489" w:rsidRDefault="007205AB">
      <w:pPr>
        <w:pBdr>
          <w:top w:val="nil"/>
          <w:left w:val="nil"/>
          <w:bottom w:val="nil"/>
          <w:right w:val="nil"/>
          <w:between w:val="nil"/>
        </w:pBdr>
        <w:spacing w:after="0" w:line="240" w:lineRule="auto"/>
        <w:ind w:left="180" w:hanging="180"/>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Genomic summary results (GSR) are results from primary analyses of genomic research that convey information relevant to genomic associations with traits or diseases across datasets rather than data specific to any one individual research participant (e.g., genotype counts and frequencies; allele counts and frequencies; effect size estimates and standard errors; likelihoods; and p-values). GSR may be considered to have particular sensitivities related to individual privacy or potential for group harm.</w:t>
      </w:r>
    </w:p>
  </w:footnote>
  <w:footnote w:id="5">
    <w:p w14:paraId="5925368C" w14:textId="77777777" w:rsidR="00EA7489" w:rsidRDefault="007205AB">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Standard NIH data use limitations: </w:t>
      </w:r>
      <w:hyperlink r:id="rId2">
        <w:r>
          <w:rPr>
            <w:rFonts w:ascii="Arial" w:eastAsia="Arial" w:hAnsi="Arial" w:cs="Arial"/>
            <w:color w:val="0563C1"/>
            <w:sz w:val="18"/>
            <w:szCs w:val="18"/>
            <w:u w:val="single"/>
          </w:rPr>
          <w:t>https://osp.od.nih.gov/wp-content/uploads/standard_data_use_limitations.pdf</w:t>
        </w:r>
      </w:hyperlink>
      <w:r>
        <w:rPr>
          <w:rFonts w:ascii="Arial" w:eastAsia="Arial" w:hAnsi="Arial" w:cs="Arial"/>
          <w:color w:val="000000"/>
          <w:sz w:val="18"/>
          <w:szCs w:val="18"/>
        </w:rPr>
        <w:t>. Additional modifiers to standard data use limitations may be indicated if appropriate and should have a basis in the informed consent from the participants or in special knowledge of the preferences of the original study population.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FA76" w14:textId="77777777" w:rsidR="00A547BD" w:rsidRDefault="00A54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67F" w14:textId="77777777" w:rsidR="00EA7489" w:rsidRDefault="00EA7489">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682" w14:textId="77777777" w:rsidR="00EA7489" w:rsidRDefault="007205AB">
    <w:pPr>
      <w:tabs>
        <w:tab w:val="center" w:pos="4680"/>
        <w:tab w:val="right" w:pos="9360"/>
      </w:tabs>
      <w:spacing w:after="0" w:line="240" w:lineRule="auto"/>
      <w:jc w:val="center"/>
      <w:rPr>
        <w:color w:val="000000"/>
      </w:rPr>
    </w:pPr>
    <w:r>
      <w:rPr>
        <w:noProof/>
      </w:rPr>
      <w:drawing>
        <wp:inline distT="0" distB="0" distL="0" distR="0" wp14:anchorId="59253686" wp14:editId="69CBDD18">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59253683" w14:textId="77777777" w:rsidR="00EA7489" w:rsidRDefault="00EA7489">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1AF"/>
    <w:multiLevelType w:val="multilevel"/>
    <w:tmpl w:val="70B8DD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906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489"/>
    <w:rsid w:val="006C0FA2"/>
    <w:rsid w:val="007205AB"/>
    <w:rsid w:val="00A547BD"/>
    <w:rsid w:val="00DA7A44"/>
    <w:rsid w:val="00EA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3647"/>
  <w15:docId w15:val="{DEAF3F59-7CA7-4DDE-BA4C-CF4E9C2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customStyle="1" w:styleId="LetterText-HCG">
    <w:name w:val="Letter Text - HCG"/>
    <w:basedOn w:val="Footer"/>
    <w:link w:val="LetterText-HCGChar"/>
    <w:qFormat/>
    <w:rPr>
      <w:rFonts w:ascii="Arial" w:hAnsi="Arial"/>
    </w:rPr>
  </w:style>
  <w:style w:type="character" w:customStyle="1" w:styleId="LetterText-HCGChar">
    <w:name w:val="Letter Text - HCG Char"/>
    <w:basedOn w:val="FooterChar"/>
    <w:link w:val="LetterText-HCG"/>
    <w:rPr>
      <w:rFonts w:ascii="Arial" w:hAnsi="Arial"/>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character" w:styleId="EndnoteReference">
    <w:name w:val="endnote reference"/>
    <w:basedOn w:val="DefaultParagraphFont"/>
    <w:semiHidden/>
    <w:unhideWhenUsed/>
    <w:rPr>
      <w:vertAlign w:val="superscript"/>
    </w:rPr>
  </w:style>
  <w:style w:type="character" w:styleId="HTMLAcronym">
    <w:name w:val="HTML Acronym"/>
    <w:basedOn w:val="DefaultParagraphFont"/>
    <w:semiHidden/>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6">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rants.nih.gov/grants/guide/notice-files/NOT-OD-14-124.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rojects/gap/cgi-bin/collection.cgi?study_id=phs000688.v1.p1"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osp.od.nih.gov/wp-content/uploads/standard_data_use_limitations.pdf" TargetMode="External"/><Relationship Id="rId1" Type="http://schemas.openxmlformats.org/officeDocument/2006/relationships/hyperlink" Target="https://grants.nih.gov/grants/guide/notice-files/NOT-OD-14-124.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hFbbR/ue97bztcwWtjLJ5G/Hw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zgAaicKFHN1Z2dlc3QubnprcnJuN3o2eDR4Eg9NYWRlbGVuYSBFaWZlcnRyITFKNG1aNFEzQ1dRX1JFeFNjakJJUWNWX2FHblhtamw0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2024-04-08T16:32:00Z</dcterms:created>
  <dcterms:modified xsi:type="dcterms:W3CDTF">2024-04-08T16:32:00Z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