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 Counted"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2-andrew"/>
      <w:bookmarkEnd w:id="25"/>
      <w:r>
        <w:t xml:space="preserve">Part 2 (Andrew)</w:t>
      </w:r>
    </w:p>
    <w:p>
      <w:pPr>
        <w:pStyle w:val="SourceCode"/>
      </w:pPr>
      <w:r>
        <w:rPr>
          <w:rStyle w:val="NormalTok"/>
        </w:rPr>
        <w:t xml:space="preserve">size_2017_col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lobster_anova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 Mean Lobster Carapace Length at Five LTER Sites in the Santa Barbara Channel in 2017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28" w:name="part-3-bridget"/>
      <w:bookmarkEnd w:id="28"/>
      <w:r>
        <w:t xml:space="preserve">Part 3 (Bridget)</w:t>
      </w:r>
    </w:p>
    <w:p>
      <w:pPr>
        <w:pStyle w:val="Heading1"/>
      </w:pPr>
      <w:bookmarkStart w:id="29" w:name="the-following-chunks-are-comparing-2012-and-2017-for-each-site-individually"/>
      <w:bookmarkEnd w:id="29"/>
      <w:r>
        <w:t xml:space="preserve">The following chunks are comparing 2012 and 2017 for each site individually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art-4"/>
      <w:bookmarkEnd w:id="33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c0b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2018-11-18T01:28:43Z</dcterms:created>
  <dcterms:modified xsi:type="dcterms:W3CDTF">2018-11-18T01:28:43Z</dcterms:modified>
</cp:coreProperties>
</file>