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5EF6" w14:textId="77777777" w:rsidR="00C361CF" w:rsidRPr="00B20ED3" w:rsidRDefault="00C361CF" w:rsidP="00C361C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538AD1BE" w14:textId="77777777" w:rsidR="00C361CF" w:rsidRPr="00B20ED3" w:rsidRDefault="00C361CF" w:rsidP="00C361C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0F9D3FB7" w14:textId="77777777" w:rsidR="00C361CF" w:rsidRPr="00B20ED3" w:rsidRDefault="00C361CF" w:rsidP="00C361C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1EA21338" w14:textId="77777777" w:rsidR="00C361CF" w:rsidRPr="00B20ED3" w:rsidRDefault="00C361CF" w:rsidP="00C361CF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C361CF" w:rsidRPr="00B20ED3" w14:paraId="413FDADD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4AC8069D" w14:textId="77777777" w:rsidR="00C361CF" w:rsidRPr="00B20ED3" w:rsidRDefault="00C361C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Cane Fitting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6B28282" w14:textId="77777777" w:rsidR="00C361CF" w:rsidRPr="00B20ED3" w:rsidRDefault="00C361C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3945AE63" w14:textId="77777777" w:rsidR="00C361CF" w:rsidRPr="00B20ED3" w:rsidRDefault="00C361C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C361CF" w:rsidRPr="00B20ED3" w14:paraId="43F9FA01" w14:textId="77777777" w:rsidTr="00DE748B">
        <w:tc>
          <w:tcPr>
            <w:tcW w:w="8185" w:type="dxa"/>
          </w:tcPr>
          <w:p w14:paraId="49BC3464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process and the importance of a proper fit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432AD94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739EB05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52C30C7F" w14:textId="77777777" w:rsidTr="00DE748B">
        <w:tc>
          <w:tcPr>
            <w:tcW w:w="8185" w:type="dxa"/>
          </w:tcPr>
          <w:p w14:paraId="67F8D460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Inspect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rubber tip and hand grip of the cane for any worn or missing pads. </w:t>
            </w:r>
          </w:p>
        </w:tc>
        <w:tc>
          <w:tcPr>
            <w:tcW w:w="1165" w:type="dxa"/>
          </w:tcPr>
          <w:p w14:paraId="4FF842D0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227FA89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576F0AE0" w14:textId="77777777" w:rsidTr="00DE748B">
        <w:tc>
          <w:tcPr>
            <w:tcW w:w="8185" w:type="dxa"/>
          </w:tcPr>
          <w:p w14:paraId="1FC33CDB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Checks the integrity of the button locks on the cane, if applicable, for safety.</w:t>
            </w:r>
          </w:p>
        </w:tc>
        <w:tc>
          <w:tcPr>
            <w:tcW w:w="1165" w:type="dxa"/>
          </w:tcPr>
          <w:p w14:paraId="20026A70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7BA0C1A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700BB68F" w14:textId="77777777" w:rsidTr="00DE748B">
        <w:tc>
          <w:tcPr>
            <w:tcW w:w="8185" w:type="dxa"/>
          </w:tcPr>
          <w:p w14:paraId="5A010D83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Asks the patient to stand erect in flat shoes with the patient’s feet shoulder-width apart and adjusts the length of the cane so that there is 20 to 30 degrees of elbow flexion. </w:t>
            </w:r>
          </w:p>
        </w:tc>
        <w:tc>
          <w:tcPr>
            <w:tcW w:w="1165" w:type="dxa"/>
          </w:tcPr>
          <w:p w14:paraId="75704822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65" w:type="dxa"/>
          </w:tcPr>
          <w:p w14:paraId="6F8C2F9E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1E0C8113" w14:textId="77777777" w:rsidTr="00DE748B">
        <w:tc>
          <w:tcPr>
            <w:tcW w:w="8185" w:type="dxa"/>
          </w:tcPr>
          <w:p w14:paraId="0C677706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Ensures the hand grip of the cane is at the level of the greater trochanter of the femur.</w:t>
            </w:r>
          </w:p>
        </w:tc>
        <w:tc>
          <w:tcPr>
            <w:tcW w:w="1165" w:type="dxa"/>
          </w:tcPr>
          <w:p w14:paraId="784DEA62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0259D32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70FEF971" w14:textId="77777777" w:rsidTr="00DE748B">
        <w:tc>
          <w:tcPr>
            <w:tcW w:w="8185" w:type="dxa"/>
          </w:tcPr>
          <w:p w14:paraId="60C07DAF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Educates the patient on the proper use of a cane. (The patient should place the cane on the uninvolved side and move it forward with the involved leg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65" w:type="dxa"/>
          </w:tcPr>
          <w:p w14:paraId="53A27CDD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B9CFF68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35E2AECF" w14:textId="77777777" w:rsidTr="00DE748B">
        <w:tc>
          <w:tcPr>
            <w:tcW w:w="8185" w:type="dxa"/>
          </w:tcPr>
          <w:p w14:paraId="00B45AE4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7. Demonstrates the proper use of a cane, if needed. </w:t>
            </w:r>
          </w:p>
        </w:tc>
        <w:tc>
          <w:tcPr>
            <w:tcW w:w="1165" w:type="dxa"/>
          </w:tcPr>
          <w:p w14:paraId="220F939A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A9E4C51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27C5D20E" w14:textId="77777777" w:rsidTr="00DE748B">
        <w:tc>
          <w:tcPr>
            <w:tcW w:w="8185" w:type="dxa"/>
          </w:tcPr>
          <w:p w14:paraId="5459023B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Communicates and interacts with the patient in a professional manner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5B772C3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9BAA12C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56A30023" w14:textId="77777777" w:rsidTr="00DE748B">
        <w:tc>
          <w:tcPr>
            <w:tcW w:w="8185" w:type="dxa"/>
          </w:tcPr>
          <w:p w14:paraId="6B1817FC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165D0188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9106FF0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361CF" w:rsidRPr="00B20ED3" w14:paraId="44708FBD" w14:textId="77777777" w:rsidTr="00DE748B">
        <w:tc>
          <w:tcPr>
            <w:tcW w:w="8185" w:type="dxa"/>
            <w:vAlign w:val="bottom"/>
          </w:tcPr>
          <w:p w14:paraId="46491029" w14:textId="77777777" w:rsidR="00C361CF" w:rsidRPr="00B20ED3" w:rsidRDefault="00C361CF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7BFDDFBD" w14:textId="77777777" w:rsidR="00C361CF" w:rsidRPr="00B20ED3" w:rsidRDefault="00C361CF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___/10</w:t>
            </w:r>
          </w:p>
        </w:tc>
        <w:tc>
          <w:tcPr>
            <w:tcW w:w="1165" w:type="dxa"/>
          </w:tcPr>
          <w:p w14:paraId="557D569C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361CF" w:rsidRPr="00B20ED3" w14:paraId="4F8DAF87" w14:textId="77777777" w:rsidTr="00DE748B">
        <w:tc>
          <w:tcPr>
            <w:tcW w:w="8185" w:type="dxa"/>
          </w:tcPr>
          <w:p w14:paraId="2D47232C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1D1D1CD6" w14:textId="77777777" w:rsidR="00C361CF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0E80D05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1483309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9DABF48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7E8F862" w14:textId="77777777" w:rsidR="00C361CF" w:rsidRPr="00B20ED3" w:rsidRDefault="00C361C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E574492" w14:textId="77777777" w:rsidR="0055695E" w:rsidRDefault="0055695E"/>
    <w:sectPr w:rsidR="005569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71B9" w14:textId="77777777" w:rsidR="00D16C39" w:rsidRDefault="00D16C39" w:rsidP="00C361CF">
      <w:r>
        <w:separator/>
      </w:r>
    </w:p>
  </w:endnote>
  <w:endnote w:type="continuationSeparator" w:id="0">
    <w:p w14:paraId="7EAE5B84" w14:textId="77777777" w:rsidR="00D16C39" w:rsidRDefault="00D16C39" w:rsidP="00C3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2267D" w14:textId="77777777" w:rsidR="006E37AE" w:rsidRDefault="006E37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48081" w14:textId="13134640" w:rsidR="00C361CF" w:rsidRDefault="006E37AE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63C2" w14:textId="77777777" w:rsidR="006E37AE" w:rsidRDefault="006E3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DD2D5" w14:textId="77777777" w:rsidR="00D16C39" w:rsidRDefault="00D16C39" w:rsidP="00C361CF">
      <w:r>
        <w:separator/>
      </w:r>
    </w:p>
  </w:footnote>
  <w:footnote w:type="continuationSeparator" w:id="0">
    <w:p w14:paraId="3117DFDA" w14:textId="77777777" w:rsidR="00D16C39" w:rsidRDefault="00D16C39" w:rsidP="00C3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8A4D" w14:textId="77777777" w:rsidR="006E37AE" w:rsidRDefault="006E37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99DF" w14:textId="77777777" w:rsidR="006E37AE" w:rsidRDefault="006E37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7AE2" w14:textId="77777777" w:rsidR="006E37AE" w:rsidRDefault="006E37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CF"/>
    <w:rsid w:val="0004361E"/>
    <w:rsid w:val="000617CC"/>
    <w:rsid w:val="001928FC"/>
    <w:rsid w:val="002848EC"/>
    <w:rsid w:val="002E3520"/>
    <w:rsid w:val="00375A78"/>
    <w:rsid w:val="00457F0D"/>
    <w:rsid w:val="00486B38"/>
    <w:rsid w:val="004A11CD"/>
    <w:rsid w:val="004B13D3"/>
    <w:rsid w:val="00546B3D"/>
    <w:rsid w:val="0055695E"/>
    <w:rsid w:val="0067531C"/>
    <w:rsid w:val="006E37AE"/>
    <w:rsid w:val="007A6FF8"/>
    <w:rsid w:val="007F36F7"/>
    <w:rsid w:val="00846174"/>
    <w:rsid w:val="00847424"/>
    <w:rsid w:val="008B7493"/>
    <w:rsid w:val="008F4CD3"/>
    <w:rsid w:val="0093110E"/>
    <w:rsid w:val="009516E7"/>
    <w:rsid w:val="00A07450"/>
    <w:rsid w:val="00A76CF2"/>
    <w:rsid w:val="00B27143"/>
    <w:rsid w:val="00BE426A"/>
    <w:rsid w:val="00C361CF"/>
    <w:rsid w:val="00CA5EB4"/>
    <w:rsid w:val="00D064E4"/>
    <w:rsid w:val="00D16C39"/>
    <w:rsid w:val="00DC68B9"/>
    <w:rsid w:val="00E02BD7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B22A"/>
  <w15:chartTrackingRefBased/>
  <w15:docId w15:val="{C6E1230A-69DE-4709-9A17-D5AFFDFD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1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1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1C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361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1CF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556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42A572AC-0289-4A0A-9B0D-4254091A60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61EFFF-5486-49F1-BD66-096FD0844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123FF0-BD0B-420C-AA53-A0261320533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2021-01-26T14:49:00Z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