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50CE" w14:textId="4CD1BEA1" w:rsidR="002C0529" w:rsidRPr="00D243D0" w:rsidRDefault="002C0529" w:rsidP="00D243D0">
      <w:pPr>
        <w:spacing w:before="480" w:line="240" w:lineRule="auto"/>
        <w:rPr>
          <w:rFonts w:eastAsiaTheme="majorEastAsia" w:cstheme="minorHAnsi"/>
          <w:b/>
          <w:bCs/>
          <w:color w:val="2F5496"/>
          <w:sz w:val="28"/>
          <w:szCs w:val="40"/>
          <w:lang w:val="en"/>
        </w:rPr>
      </w:pPr>
      <w:r w:rsidRPr="00D243D0">
        <w:rPr>
          <w:rFonts w:eastAsiaTheme="majorEastAsia" w:cstheme="minorHAnsi"/>
          <w:b/>
          <w:bCs/>
          <w:color w:val="2F5496"/>
          <w:sz w:val="28"/>
          <w:szCs w:val="40"/>
          <w:lang w:val="en"/>
        </w:rPr>
        <w:t>Chapter 4</w:t>
      </w:r>
    </w:p>
    <w:p w14:paraId="10F615CD" w14:textId="77777777" w:rsidR="002C0529" w:rsidRPr="00D243D0" w:rsidRDefault="002C0529" w:rsidP="002C0529">
      <w:pPr>
        <w:spacing w:after="0" w:line="240" w:lineRule="auto"/>
        <w:rPr>
          <w:rFonts w:cstheme="minorHAnsi"/>
          <w:b/>
          <w:bCs/>
          <w:color w:val="000000"/>
        </w:rPr>
      </w:pPr>
      <w:r w:rsidRPr="00D243D0">
        <w:rPr>
          <w:rFonts w:cstheme="minorHAnsi"/>
          <w:b/>
          <w:bCs/>
          <w:color w:val="000000"/>
        </w:rPr>
        <w:t>Emotive</w:t>
      </w:r>
    </w:p>
    <w:p w14:paraId="44644017" w14:textId="77777777" w:rsidR="004262D3" w:rsidRDefault="002C0529" w:rsidP="002C0529">
      <w:pPr>
        <w:spacing w:after="0" w:line="240" w:lineRule="auto"/>
        <w:rPr>
          <w:rFonts w:cstheme="minorHAnsi"/>
          <w:color w:val="000000"/>
        </w:rPr>
      </w:pPr>
      <w:r w:rsidRPr="00D243D0">
        <w:rPr>
          <w:rFonts w:cstheme="minorHAnsi"/>
          <w:color w:val="000000"/>
        </w:rPr>
        <w:t>Being demonstrative; expressing emotions.</w:t>
      </w:r>
    </w:p>
    <w:p w14:paraId="68E9E59F" w14:textId="791F64A0" w:rsidR="002C0529" w:rsidRPr="00D243D0" w:rsidRDefault="002C0529" w:rsidP="002C0529">
      <w:pPr>
        <w:spacing w:after="0" w:line="240" w:lineRule="auto"/>
        <w:rPr>
          <w:rFonts w:cstheme="minorHAnsi"/>
          <w:b/>
          <w:bCs/>
          <w:color w:val="000000"/>
        </w:rPr>
      </w:pPr>
      <w:r w:rsidRPr="00D243D0">
        <w:rPr>
          <w:rFonts w:cstheme="minorHAnsi"/>
          <w:b/>
          <w:bCs/>
          <w:color w:val="000000"/>
        </w:rPr>
        <w:t>Empathy</w:t>
      </w:r>
    </w:p>
    <w:p w14:paraId="59E2508D" w14:textId="16B2EAE4" w:rsidR="002C0529" w:rsidRPr="00D243D0" w:rsidRDefault="002C0529" w:rsidP="002C0529">
      <w:pPr>
        <w:spacing w:after="0" w:line="240" w:lineRule="auto"/>
        <w:rPr>
          <w:rFonts w:cstheme="minorHAnsi"/>
          <w:color w:val="000000"/>
        </w:rPr>
      </w:pPr>
      <w:r w:rsidRPr="00D243D0">
        <w:rPr>
          <w:rFonts w:cstheme="minorHAnsi"/>
          <w:color w:val="000000"/>
        </w:rPr>
        <w:t>The ability to understand a patient’s perspective.</w:t>
      </w:r>
    </w:p>
    <w:p w14:paraId="0C6FCB86" w14:textId="77777777" w:rsidR="002C0529" w:rsidRPr="00D243D0" w:rsidRDefault="002C0529" w:rsidP="002C0529">
      <w:pPr>
        <w:spacing w:after="0" w:line="240" w:lineRule="auto"/>
        <w:rPr>
          <w:rFonts w:cstheme="minorHAnsi"/>
          <w:b/>
          <w:bCs/>
          <w:color w:val="000000"/>
        </w:rPr>
      </w:pPr>
      <w:r w:rsidRPr="00D243D0">
        <w:rPr>
          <w:rFonts w:cstheme="minorHAnsi"/>
          <w:b/>
          <w:bCs/>
        </w:rPr>
        <w:t>Ethnicity</w:t>
      </w:r>
    </w:p>
    <w:p w14:paraId="5A391567" w14:textId="55C89E5A" w:rsidR="002C0529" w:rsidRPr="00D243D0" w:rsidRDefault="002C0529" w:rsidP="002C0529">
      <w:pPr>
        <w:spacing w:after="0" w:line="240" w:lineRule="auto"/>
        <w:rPr>
          <w:rFonts w:cstheme="minorHAnsi"/>
        </w:rPr>
      </w:pPr>
      <w:r w:rsidRPr="00D243D0">
        <w:rPr>
          <w:rFonts w:cstheme="minorHAnsi"/>
        </w:rPr>
        <w:t>A group of people with a distinct shared ancestry and cultural identity.</w:t>
      </w:r>
    </w:p>
    <w:p w14:paraId="44309AD4" w14:textId="77777777" w:rsidR="002C0529" w:rsidRPr="00D243D0" w:rsidRDefault="002C0529" w:rsidP="002C0529">
      <w:pPr>
        <w:spacing w:after="0" w:line="240" w:lineRule="auto"/>
        <w:rPr>
          <w:rFonts w:cstheme="minorHAnsi"/>
          <w:b/>
          <w:bCs/>
          <w:color w:val="000000"/>
        </w:rPr>
      </w:pPr>
      <w:r w:rsidRPr="00D243D0">
        <w:rPr>
          <w:rFonts w:cstheme="minorHAnsi"/>
          <w:b/>
          <w:bCs/>
          <w:color w:val="000000"/>
          <w:shd w:val="clear" w:color="auto" w:fill="FFFFFF"/>
        </w:rPr>
        <w:t>Health disparity</w:t>
      </w:r>
    </w:p>
    <w:p w14:paraId="5AF6E4A3" w14:textId="19F09984" w:rsidR="002C0529" w:rsidRPr="00D243D0" w:rsidRDefault="002C0529" w:rsidP="002C0529">
      <w:pPr>
        <w:spacing w:after="0" w:line="240" w:lineRule="auto"/>
        <w:rPr>
          <w:rFonts w:cstheme="minorHAnsi"/>
          <w:b/>
          <w:bCs/>
          <w:color w:val="000000"/>
        </w:rPr>
      </w:pPr>
      <w:r w:rsidRPr="00D243D0">
        <w:rPr>
          <w:rFonts w:cstheme="minorHAnsi"/>
          <w:color w:val="000000"/>
          <w:shd w:val="clear" w:color="auto" w:fill="FFFFFF"/>
        </w:rPr>
        <w:t>Differences in health based on social injustices that increase the vulnerability of marginalized groups.</w:t>
      </w:r>
    </w:p>
    <w:p w14:paraId="734EE083" w14:textId="77777777" w:rsidR="002C0529" w:rsidRPr="00D243D0" w:rsidRDefault="002C0529" w:rsidP="002C0529">
      <w:pPr>
        <w:spacing w:after="0" w:line="240" w:lineRule="auto"/>
        <w:rPr>
          <w:rFonts w:cstheme="minorHAnsi"/>
          <w:b/>
          <w:bCs/>
          <w:color w:val="000000"/>
        </w:rPr>
      </w:pPr>
      <w:r w:rsidRPr="00D243D0">
        <w:rPr>
          <w:rFonts w:cstheme="minorHAnsi"/>
          <w:b/>
          <w:bCs/>
          <w:color w:val="000000"/>
        </w:rPr>
        <w:t>Implicit bias</w:t>
      </w:r>
    </w:p>
    <w:p w14:paraId="4CAE2159" w14:textId="6D44611F" w:rsidR="002C0529" w:rsidRPr="00D243D0" w:rsidRDefault="002C0529" w:rsidP="002C0529">
      <w:pPr>
        <w:spacing w:after="0" w:line="240" w:lineRule="auto"/>
        <w:rPr>
          <w:rFonts w:cstheme="minorHAnsi"/>
          <w:color w:val="000000"/>
        </w:rPr>
      </w:pPr>
      <w:r w:rsidRPr="00D243D0">
        <w:rPr>
          <w:rFonts w:cstheme="minorHAnsi"/>
          <w:color w:val="000000"/>
        </w:rPr>
        <w:t>Unconscious judgment and behavior toward members of a group.</w:t>
      </w:r>
    </w:p>
    <w:p w14:paraId="0C42C46B" w14:textId="77777777" w:rsidR="002C0529" w:rsidRPr="00D243D0" w:rsidRDefault="002C0529" w:rsidP="002C0529">
      <w:pPr>
        <w:spacing w:after="0" w:line="240" w:lineRule="auto"/>
        <w:rPr>
          <w:rFonts w:cstheme="minorHAnsi"/>
          <w:b/>
          <w:bCs/>
          <w:color w:val="000000"/>
        </w:rPr>
      </w:pPr>
      <w:r w:rsidRPr="00D243D0">
        <w:rPr>
          <w:rFonts w:cstheme="minorHAnsi"/>
          <w:b/>
          <w:color w:val="000000"/>
        </w:rPr>
        <w:t>Intersectionality</w:t>
      </w:r>
    </w:p>
    <w:p w14:paraId="4F422EE5" w14:textId="329B5619" w:rsidR="002C0529" w:rsidRPr="00D243D0" w:rsidRDefault="002C0529" w:rsidP="002C0529">
      <w:pPr>
        <w:spacing w:after="0" w:line="240" w:lineRule="auto"/>
        <w:rPr>
          <w:rFonts w:cstheme="minorHAnsi"/>
          <w:bCs/>
          <w:color w:val="000000"/>
        </w:rPr>
      </w:pPr>
      <w:r w:rsidRPr="00D243D0">
        <w:rPr>
          <w:rFonts w:cstheme="minorHAnsi"/>
          <w:bCs/>
          <w:color w:val="000000"/>
        </w:rPr>
        <w:t>Overlapping of racial, ethnic, or cultural identities.</w:t>
      </w:r>
    </w:p>
    <w:p w14:paraId="51466C46" w14:textId="77777777" w:rsidR="002C0529" w:rsidRPr="00D243D0" w:rsidRDefault="002C0529" w:rsidP="002C0529">
      <w:pPr>
        <w:spacing w:after="0" w:line="240" w:lineRule="auto"/>
        <w:rPr>
          <w:rFonts w:cstheme="minorHAnsi"/>
          <w:b/>
          <w:bCs/>
          <w:color w:val="000000"/>
        </w:rPr>
      </w:pPr>
      <w:r w:rsidRPr="00D243D0">
        <w:rPr>
          <w:rFonts w:cstheme="minorHAnsi"/>
          <w:b/>
          <w:bCs/>
          <w:color w:val="000000"/>
        </w:rPr>
        <w:t>Marginalization</w:t>
      </w:r>
    </w:p>
    <w:p w14:paraId="52D65979" w14:textId="77777777" w:rsidR="004262D3" w:rsidRDefault="002C0529" w:rsidP="002C0529">
      <w:pPr>
        <w:spacing w:after="0" w:line="240" w:lineRule="auto"/>
        <w:rPr>
          <w:rFonts w:cstheme="minorHAnsi"/>
          <w:color w:val="000000"/>
        </w:rPr>
      </w:pPr>
      <w:r w:rsidRPr="00D243D0">
        <w:rPr>
          <w:rFonts w:cstheme="minorHAnsi"/>
          <w:color w:val="000000"/>
        </w:rPr>
        <w:t>Making assumptions and prejudging cultural or ethnic groups.</w:t>
      </w:r>
    </w:p>
    <w:p w14:paraId="2B28FF8C" w14:textId="54FB96D5" w:rsidR="002C0529" w:rsidRPr="00D243D0" w:rsidRDefault="002C0529" w:rsidP="002C0529">
      <w:pPr>
        <w:spacing w:after="0" w:line="240" w:lineRule="auto"/>
        <w:rPr>
          <w:rFonts w:cstheme="minorHAnsi"/>
          <w:b/>
          <w:bCs/>
          <w:color w:val="000000"/>
        </w:rPr>
      </w:pPr>
      <w:proofErr w:type="spellStart"/>
      <w:r w:rsidRPr="00D243D0">
        <w:rPr>
          <w:rFonts w:cstheme="minorHAnsi"/>
          <w:b/>
          <w:color w:val="000000"/>
        </w:rPr>
        <w:t>Microassaults</w:t>
      </w:r>
      <w:proofErr w:type="spellEnd"/>
    </w:p>
    <w:p w14:paraId="3E28855F" w14:textId="77777777" w:rsidR="004262D3" w:rsidRDefault="002C0529" w:rsidP="002C0529">
      <w:pPr>
        <w:spacing w:after="0" w:line="240" w:lineRule="auto"/>
        <w:rPr>
          <w:rFonts w:cstheme="minorHAnsi"/>
          <w:color w:val="000000"/>
        </w:rPr>
      </w:pPr>
      <w:r w:rsidRPr="00D243D0">
        <w:rPr>
          <w:rFonts w:cstheme="minorHAnsi"/>
          <w:color w:val="000000"/>
        </w:rPr>
        <w:t>Most closely aligned with old-fashioned isms like sexism or racism. Assaults can be verbal, nonverbal, implicit, or explicit (i.e., intentional) discriminatory behavior.</w:t>
      </w:r>
    </w:p>
    <w:p w14:paraId="30989CCB" w14:textId="0433469C" w:rsidR="002C0529" w:rsidRPr="00D243D0" w:rsidRDefault="002C0529" w:rsidP="002C0529">
      <w:pPr>
        <w:spacing w:after="0" w:line="240" w:lineRule="auto"/>
        <w:rPr>
          <w:rFonts w:cstheme="minorHAnsi"/>
          <w:b/>
          <w:bCs/>
          <w:color w:val="000000"/>
        </w:rPr>
      </w:pPr>
      <w:r w:rsidRPr="00D243D0">
        <w:rPr>
          <w:rFonts w:cstheme="minorHAnsi"/>
          <w:b/>
          <w:bCs/>
          <w:color w:val="000000"/>
        </w:rPr>
        <w:t>Microinsult</w:t>
      </w:r>
    </w:p>
    <w:p w14:paraId="69E69402" w14:textId="77777777" w:rsidR="004262D3" w:rsidRDefault="002C0529" w:rsidP="002C0529">
      <w:pPr>
        <w:spacing w:after="0" w:line="240" w:lineRule="auto"/>
        <w:rPr>
          <w:rFonts w:cstheme="minorHAnsi"/>
          <w:color w:val="000000"/>
        </w:rPr>
      </w:pPr>
      <w:r w:rsidRPr="00D243D0">
        <w:rPr>
          <w:rFonts w:cstheme="minorHAnsi"/>
          <w:color w:val="000000"/>
        </w:rPr>
        <w:t>Insensitive or rude remarks that convey contempt for the target.</w:t>
      </w:r>
    </w:p>
    <w:p w14:paraId="23527F7A" w14:textId="339157EB" w:rsidR="002C0529" w:rsidRPr="00D243D0" w:rsidRDefault="002C0529" w:rsidP="002C0529">
      <w:pPr>
        <w:spacing w:after="0" w:line="240" w:lineRule="auto"/>
        <w:rPr>
          <w:rFonts w:cstheme="minorHAnsi"/>
          <w:b/>
          <w:bCs/>
          <w:color w:val="000000"/>
        </w:rPr>
      </w:pPr>
      <w:r w:rsidRPr="00D243D0">
        <w:rPr>
          <w:rFonts w:cstheme="minorHAnsi"/>
          <w:b/>
          <w:color w:val="000000"/>
        </w:rPr>
        <w:t>Microinvalidations</w:t>
      </w:r>
    </w:p>
    <w:p w14:paraId="30880697" w14:textId="77777777" w:rsidR="004262D3" w:rsidRDefault="002C0529" w:rsidP="002C0529">
      <w:pPr>
        <w:spacing w:after="0" w:line="240" w:lineRule="auto"/>
        <w:rPr>
          <w:rFonts w:cstheme="minorHAnsi"/>
          <w:color w:val="000000"/>
        </w:rPr>
      </w:pPr>
      <w:r w:rsidRPr="00D243D0">
        <w:rPr>
          <w:rFonts w:cstheme="minorHAnsi"/>
          <w:color w:val="000000"/>
        </w:rPr>
        <w:t>Dismissive of the feelings or experiences of a member of a group or denying one’s own biases toward a social group; these behaviors can be unconscious.</w:t>
      </w:r>
    </w:p>
    <w:p w14:paraId="11259F26" w14:textId="4DC8EF10" w:rsidR="002C0529" w:rsidRPr="00D243D0" w:rsidRDefault="002C0529" w:rsidP="002C0529">
      <w:pPr>
        <w:spacing w:after="0" w:line="240" w:lineRule="auto"/>
        <w:rPr>
          <w:rFonts w:cstheme="minorHAnsi"/>
          <w:b/>
          <w:bCs/>
          <w:color w:val="000000"/>
        </w:rPr>
      </w:pPr>
      <w:r w:rsidRPr="00D243D0">
        <w:rPr>
          <w:rFonts w:cstheme="minorHAnsi"/>
          <w:b/>
          <w:bCs/>
          <w:color w:val="000000"/>
        </w:rPr>
        <w:t>Oppression</w:t>
      </w:r>
    </w:p>
    <w:p w14:paraId="37E41997" w14:textId="7542723E" w:rsidR="002C0529" w:rsidRPr="00D243D0" w:rsidRDefault="002C0529" w:rsidP="002C0529">
      <w:pPr>
        <w:spacing w:after="0" w:line="240" w:lineRule="auto"/>
        <w:rPr>
          <w:rFonts w:cstheme="minorHAnsi"/>
          <w:b/>
          <w:bCs/>
          <w:color w:val="000000"/>
          <w:shd w:val="clear" w:color="auto" w:fill="FFFFFF"/>
        </w:rPr>
      </w:pPr>
      <w:r w:rsidRPr="00D243D0">
        <w:rPr>
          <w:rFonts w:cstheme="minorHAnsi"/>
          <w:color w:val="000000"/>
        </w:rPr>
        <w:t xml:space="preserve">Unjust treatment </w:t>
      </w:r>
      <w:proofErr w:type="gramStart"/>
      <w:r w:rsidRPr="00D243D0">
        <w:rPr>
          <w:rFonts w:cstheme="minorHAnsi"/>
          <w:color w:val="000000"/>
        </w:rPr>
        <w:t>with regard to</w:t>
      </w:r>
      <w:proofErr w:type="gramEnd"/>
      <w:r w:rsidRPr="00D243D0">
        <w:rPr>
          <w:rFonts w:cstheme="minorHAnsi"/>
          <w:color w:val="000000"/>
        </w:rPr>
        <w:t xml:space="preserve"> status.</w:t>
      </w:r>
    </w:p>
    <w:p w14:paraId="06D542E1" w14:textId="4EB9DBD5" w:rsidR="002C0529" w:rsidRPr="00D243D0" w:rsidRDefault="006A7AE1" w:rsidP="002C0529">
      <w:pPr>
        <w:spacing w:after="0" w:line="240" w:lineRule="auto"/>
        <w:rPr>
          <w:rFonts w:cstheme="minorHAnsi"/>
          <w:b/>
          <w:bCs/>
          <w:color w:val="000000"/>
        </w:rPr>
      </w:pPr>
      <w:r w:rsidRPr="00D243D0">
        <w:rPr>
          <w:rFonts w:cstheme="minorHAnsi"/>
          <w:b/>
          <w:bCs/>
          <w:color w:val="000000"/>
        </w:rPr>
        <w:t>Person</w:t>
      </w:r>
      <w:r w:rsidR="00D42BF0">
        <w:rPr>
          <w:rFonts w:cstheme="minorHAnsi"/>
          <w:b/>
          <w:bCs/>
          <w:color w:val="000000"/>
        </w:rPr>
        <w:t>-</w:t>
      </w:r>
      <w:r w:rsidRPr="00D243D0">
        <w:rPr>
          <w:rFonts w:cstheme="minorHAnsi"/>
          <w:b/>
          <w:bCs/>
          <w:color w:val="000000"/>
        </w:rPr>
        <w:t xml:space="preserve"> or </w:t>
      </w:r>
      <w:r w:rsidR="0060781B">
        <w:rPr>
          <w:rFonts w:cstheme="minorHAnsi"/>
          <w:b/>
          <w:bCs/>
          <w:color w:val="000000"/>
        </w:rPr>
        <w:t>p</w:t>
      </w:r>
      <w:r w:rsidR="002C0529" w:rsidRPr="00D243D0">
        <w:rPr>
          <w:rFonts w:cstheme="minorHAnsi"/>
          <w:b/>
          <w:bCs/>
          <w:color w:val="000000"/>
        </w:rPr>
        <w:t>atient-centered care (PCC)</w:t>
      </w:r>
    </w:p>
    <w:p w14:paraId="44B67518" w14:textId="0C6E8447" w:rsidR="002C0529" w:rsidRPr="00D243D0" w:rsidRDefault="002C0529" w:rsidP="002C0529">
      <w:pPr>
        <w:spacing w:after="0" w:line="240" w:lineRule="auto"/>
        <w:rPr>
          <w:rFonts w:cstheme="minorHAnsi"/>
          <w:color w:val="000000"/>
        </w:rPr>
      </w:pPr>
      <w:r w:rsidRPr="00D243D0">
        <w:rPr>
          <w:rFonts w:cstheme="minorHAnsi"/>
          <w:color w:val="000000"/>
        </w:rPr>
        <w:t>An approach to therapeutic interactions with patients that is responsive and respectful, placing the patient at the center of the desired outcomes.</w:t>
      </w:r>
    </w:p>
    <w:p w14:paraId="6FA1853C" w14:textId="77777777" w:rsidR="002C0529" w:rsidRPr="00D243D0" w:rsidRDefault="002C0529" w:rsidP="002C0529">
      <w:pPr>
        <w:spacing w:after="0" w:line="240" w:lineRule="auto"/>
        <w:rPr>
          <w:rFonts w:cstheme="minorHAnsi"/>
          <w:b/>
          <w:bCs/>
          <w:color w:val="000000"/>
        </w:rPr>
      </w:pPr>
      <w:r w:rsidRPr="00D243D0">
        <w:rPr>
          <w:rFonts w:cstheme="minorHAnsi"/>
          <w:b/>
          <w:bCs/>
          <w:color w:val="000000"/>
        </w:rPr>
        <w:t>Power distance</w:t>
      </w:r>
    </w:p>
    <w:p w14:paraId="26B6FF40" w14:textId="6E8B434B" w:rsidR="002C0529" w:rsidRPr="00D243D0" w:rsidRDefault="002C0529" w:rsidP="002C0529">
      <w:pPr>
        <w:spacing w:after="0" w:line="240" w:lineRule="auto"/>
        <w:rPr>
          <w:rFonts w:cstheme="minorHAnsi"/>
          <w:color w:val="000000"/>
        </w:rPr>
      </w:pPr>
      <w:r w:rsidRPr="00D243D0">
        <w:rPr>
          <w:rFonts w:cstheme="minorHAnsi"/>
          <w:color w:val="000000"/>
        </w:rPr>
        <w:t>The level of comfort that group members have with power, influence, and wealth inequalities.</w:t>
      </w:r>
    </w:p>
    <w:p w14:paraId="6197408E" w14:textId="77777777" w:rsidR="002C0529" w:rsidRPr="00D243D0" w:rsidRDefault="002C0529" w:rsidP="002C0529">
      <w:pPr>
        <w:spacing w:after="0" w:line="240" w:lineRule="auto"/>
        <w:rPr>
          <w:rFonts w:cstheme="minorHAnsi"/>
          <w:b/>
          <w:bCs/>
          <w:color w:val="000000"/>
        </w:rPr>
      </w:pPr>
      <w:r w:rsidRPr="00D243D0">
        <w:rPr>
          <w:rFonts w:cstheme="minorHAnsi"/>
          <w:b/>
          <w:bCs/>
          <w:color w:val="000000"/>
        </w:rPr>
        <w:t>Race</w:t>
      </w:r>
    </w:p>
    <w:p w14:paraId="556AF272" w14:textId="55420A70" w:rsidR="002C0529" w:rsidRPr="00D243D0" w:rsidRDefault="002C0529" w:rsidP="002C0529">
      <w:pPr>
        <w:spacing w:after="0" w:line="240" w:lineRule="auto"/>
        <w:rPr>
          <w:rFonts w:cstheme="minorHAnsi"/>
          <w:color w:val="000000"/>
        </w:rPr>
      </w:pPr>
      <w:r w:rsidRPr="00D243D0">
        <w:rPr>
          <w:rFonts w:cstheme="minorHAnsi"/>
          <w:color w:val="000000"/>
        </w:rPr>
        <w:t>A societal category that is not grounded in biology.</w:t>
      </w:r>
    </w:p>
    <w:p w14:paraId="0C236F7F" w14:textId="77777777" w:rsidR="002C0529" w:rsidRPr="00D243D0" w:rsidRDefault="002C0529" w:rsidP="002C0529">
      <w:pPr>
        <w:spacing w:after="0" w:line="240" w:lineRule="auto"/>
        <w:rPr>
          <w:rFonts w:cstheme="minorHAnsi"/>
          <w:b/>
          <w:bCs/>
          <w:color w:val="000000"/>
        </w:rPr>
      </w:pPr>
      <w:r w:rsidRPr="00D243D0">
        <w:rPr>
          <w:rFonts w:cstheme="minorHAnsi"/>
          <w:b/>
          <w:bCs/>
          <w:color w:val="000000"/>
        </w:rPr>
        <w:t>Stereotype</w:t>
      </w:r>
    </w:p>
    <w:p w14:paraId="02E3E219" w14:textId="125619AB" w:rsidR="002C0529" w:rsidRPr="00D243D0" w:rsidRDefault="002C0529" w:rsidP="002C0529">
      <w:pPr>
        <w:spacing w:after="0" w:line="240" w:lineRule="auto"/>
        <w:rPr>
          <w:rFonts w:cstheme="minorHAnsi"/>
          <w:color w:val="000000"/>
        </w:rPr>
      </w:pPr>
      <w:r w:rsidRPr="00D243D0">
        <w:rPr>
          <w:rFonts w:cstheme="minorHAnsi"/>
          <w:color w:val="000000"/>
        </w:rPr>
        <w:t>A belief regarding characteristics of a social group; these are preconceived generalizations.</w:t>
      </w:r>
    </w:p>
    <w:p w14:paraId="0C8E9DAE" w14:textId="77777777" w:rsidR="002C0529" w:rsidRPr="00D243D0" w:rsidRDefault="002C0529" w:rsidP="002C0529">
      <w:pPr>
        <w:spacing w:after="0" w:line="240" w:lineRule="auto"/>
        <w:rPr>
          <w:rFonts w:cstheme="minorHAnsi"/>
          <w:b/>
          <w:bCs/>
          <w:color w:val="000000"/>
        </w:rPr>
      </w:pPr>
      <w:r w:rsidRPr="00D243D0">
        <w:rPr>
          <w:rFonts w:cstheme="minorHAnsi"/>
          <w:b/>
          <w:bCs/>
          <w:color w:val="000000"/>
        </w:rPr>
        <w:t>Stoicism</w:t>
      </w:r>
    </w:p>
    <w:p w14:paraId="26B7252A" w14:textId="2DC2283E" w:rsidR="00FE1A69" w:rsidRPr="00D243D0" w:rsidRDefault="002C0529" w:rsidP="002C0529">
      <w:pPr>
        <w:spacing w:after="0" w:line="240" w:lineRule="auto"/>
        <w:rPr>
          <w:rFonts w:cstheme="minorHAnsi"/>
          <w:color w:val="000000"/>
        </w:rPr>
      </w:pPr>
      <w:r w:rsidRPr="00D243D0">
        <w:rPr>
          <w:rFonts w:cstheme="minorHAnsi"/>
          <w:color w:val="000000"/>
        </w:rPr>
        <w:t>Not showing emotion after painful or pleasurable experiences.</w:t>
      </w:r>
    </w:p>
    <w:sectPr w:rsidR="00FE1A69" w:rsidRPr="00D24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W1BCJjQ2NjC0MLUyUdpeDU4uLM/DyQAsNaANvtvQcsAAAA"/>
  </w:docVars>
  <w:rsids>
    <w:rsidRoot w:val="002C0529"/>
    <w:rsid w:val="000C0238"/>
    <w:rsid w:val="001A0248"/>
    <w:rsid w:val="002C0529"/>
    <w:rsid w:val="004262D3"/>
    <w:rsid w:val="005E2B38"/>
    <w:rsid w:val="0060781B"/>
    <w:rsid w:val="006A7AE1"/>
    <w:rsid w:val="006C05D3"/>
    <w:rsid w:val="009216EE"/>
    <w:rsid w:val="00AD1298"/>
    <w:rsid w:val="00AE57C5"/>
    <w:rsid w:val="00B74C00"/>
    <w:rsid w:val="00D243D0"/>
    <w:rsid w:val="00D42BF0"/>
    <w:rsid w:val="00D72723"/>
    <w:rsid w:val="00ED6C9B"/>
    <w:rsid w:val="00F054D8"/>
    <w:rsid w:val="00FB0B77"/>
    <w:rsid w:val="00FE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86E0C"/>
  <w15:chartTrackingRefBased/>
  <w15:docId w15:val="{5EE658F8-A30A-4CA1-B879-07BD65CC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52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B74C0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E2B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2B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2B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2B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2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8C4131-B983-4E47-8457-E2D0A88325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34CFA3-9112-4454-9D9B-E99CDF485984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8AB6D628-D345-4629-95F7-3C7D0DE2AC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Werner</dc:creator>
  <cp:keywords/>
  <dc:description/>
  <cp:lastModifiedBy>Reviewing Editor</cp:lastModifiedBy>
  <cp:revision>11</cp:revision>
  <dcterms:created xsi:type="dcterms:W3CDTF">2026-09-09T19:18:00Z</dcterms:created>
  <dcterms:modified xsi:type="dcterms:W3CDTF">2026-10-04T13:54:00Z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