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732FB6" w14:textId="4683AB8D" w:rsidR="00AC35AD" w:rsidRPr="005148FF" w:rsidRDefault="00AC35AD" w:rsidP="005148FF">
      <w:pPr>
        <w:spacing w:before="480" w:after="200"/>
        <w:rPr>
          <w:rFonts w:asciiTheme="minorHAnsi" w:eastAsiaTheme="majorEastAsia" w:hAnsiTheme="minorHAnsi" w:cstheme="minorHAnsi"/>
          <w:b/>
          <w:bCs/>
          <w:color w:val="2F5496"/>
          <w:sz w:val="28"/>
          <w:szCs w:val="40"/>
          <w:lang w:val="en"/>
        </w:rPr>
      </w:pPr>
      <w:r w:rsidRPr="005148FF">
        <w:rPr>
          <w:rFonts w:asciiTheme="minorHAnsi" w:eastAsiaTheme="majorEastAsia" w:hAnsiTheme="minorHAnsi" w:cstheme="minorHAnsi"/>
          <w:b/>
          <w:bCs/>
          <w:color w:val="2F5496"/>
          <w:sz w:val="28"/>
          <w:szCs w:val="40"/>
          <w:lang w:val="en"/>
        </w:rPr>
        <w:t>Chapter 11</w:t>
      </w:r>
    </w:p>
    <w:p w14:paraId="33860594" w14:textId="4642E643" w:rsidR="00AC35AD" w:rsidRPr="005148FF" w:rsidRDefault="00AC35AD" w:rsidP="00AC35AD">
      <w:pPr>
        <w:rPr>
          <w:rFonts w:asciiTheme="minorHAnsi" w:hAnsiTheme="minorHAnsi" w:cstheme="minorHAnsi"/>
          <w:b/>
          <w:color w:val="000000"/>
          <w:sz w:val="22"/>
          <w:szCs w:val="22"/>
        </w:rPr>
      </w:pPr>
      <w:r w:rsidRPr="005148FF">
        <w:rPr>
          <w:rFonts w:asciiTheme="minorHAnsi" w:hAnsiTheme="minorHAnsi" w:cstheme="minorHAnsi"/>
          <w:b/>
          <w:color w:val="000000"/>
          <w:sz w:val="22"/>
          <w:szCs w:val="22"/>
        </w:rPr>
        <w:t>Acute anterior compartment syndrome</w:t>
      </w:r>
    </w:p>
    <w:p w14:paraId="2A4153FF" w14:textId="7A0BD8B8" w:rsidR="00AC35AD" w:rsidRPr="005148FF" w:rsidRDefault="00AC35AD" w:rsidP="00AC35AD">
      <w:pPr>
        <w:rPr>
          <w:rFonts w:asciiTheme="minorHAnsi" w:hAnsiTheme="minorHAnsi" w:cstheme="minorHAnsi"/>
          <w:color w:val="000000"/>
          <w:sz w:val="22"/>
          <w:szCs w:val="22"/>
        </w:rPr>
      </w:pPr>
      <w:r w:rsidRPr="005148FF">
        <w:rPr>
          <w:rFonts w:asciiTheme="minorHAnsi" w:hAnsiTheme="minorHAnsi" w:cstheme="minorHAnsi"/>
          <w:color w:val="000000"/>
          <w:sz w:val="22"/>
          <w:szCs w:val="22"/>
        </w:rPr>
        <w:t xml:space="preserve">A serious, often limb-threatening, condition where pressure builds up in the anterior compartment of the lower leg. The increasing pressure </w:t>
      </w:r>
      <w:r w:rsidRPr="005148FF">
        <w:rPr>
          <w:rFonts w:asciiTheme="minorHAnsi" w:hAnsiTheme="minorHAnsi" w:cstheme="minorHAnsi"/>
          <w:sz w:val="22"/>
          <w:szCs w:val="22"/>
        </w:rPr>
        <w:t>affects</w:t>
      </w:r>
      <w:r w:rsidRPr="005148FF">
        <w:rPr>
          <w:rFonts w:asciiTheme="minorHAnsi" w:hAnsiTheme="minorHAnsi" w:cstheme="minorHAnsi"/>
          <w:color w:val="000000"/>
          <w:sz w:val="22"/>
          <w:szCs w:val="22"/>
        </w:rPr>
        <w:t xml:space="preserve"> the neurovascular structures in the lower leg. Causes of acute anterior compartment syndrome in the lower leg include a direct blow or fracture.</w:t>
      </w:r>
    </w:p>
    <w:p w14:paraId="271AC7D1" w14:textId="321D01C6" w:rsidR="00AC35AD" w:rsidRPr="005148FF" w:rsidRDefault="00AC35AD" w:rsidP="00AC35AD">
      <w:pPr>
        <w:rPr>
          <w:rFonts w:asciiTheme="minorHAnsi" w:hAnsiTheme="minorHAnsi" w:cstheme="minorHAnsi"/>
          <w:b/>
          <w:color w:val="000000"/>
          <w:sz w:val="22"/>
          <w:szCs w:val="22"/>
        </w:rPr>
      </w:pPr>
      <w:r w:rsidRPr="005148FF">
        <w:rPr>
          <w:rFonts w:asciiTheme="minorHAnsi" w:hAnsiTheme="minorHAnsi" w:cstheme="minorHAnsi"/>
          <w:b/>
          <w:color w:val="000000"/>
          <w:sz w:val="22"/>
          <w:szCs w:val="22"/>
        </w:rPr>
        <w:t>Commotio cordis</w:t>
      </w:r>
    </w:p>
    <w:p w14:paraId="27401EE7" w14:textId="4820A305" w:rsidR="00AC35AD" w:rsidRPr="005148FF" w:rsidRDefault="00AC35AD" w:rsidP="00AC35AD">
      <w:pPr>
        <w:rPr>
          <w:rFonts w:asciiTheme="minorHAnsi" w:hAnsiTheme="minorHAnsi" w:cstheme="minorHAnsi"/>
          <w:color w:val="000000"/>
          <w:sz w:val="22"/>
          <w:szCs w:val="22"/>
        </w:rPr>
      </w:pPr>
      <w:r w:rsidRPr="005148FF">
        <w:rPr>
          <w:rFonts w:asciiTheme="minorHAnsi" w:hAnsiTheme="minorHAnsi" w:cstheme="minorHAnsi"/>
          <w:color w:val="000000"/>
          <w:sz w:val="22"/>
          <w:szCs w:val="22"/>
        </w:rPr>
        <w:t>Sudden arrhythmic death caused by an impact to the chest wall. It is mostly seen in athletes between the ages of 8 and 18 who play sports with projectiles, such as baseballs, hockey pucks, or lacrosse balls. The timing and location of the impact are important factors in determining whether or not an athlete will have this condition. Immediate CPR and defibrillation are imperative for preventing death; even with CPR and AED use, survival is rare.</w:t>
      </w:r>
      <w:r w:rsidRPr="005148FF">
        <w:rPr>
          <w:rFonts w:asciiTheme="minorHAnsi" w:hAnsiTheme="minorHAnsi" w:cstheme="minorHAnsi"/>
          <w:color w:val="000000"/>
          <w:sz w:val="22"/>
          <w:szCs w:val="22"/>
        </w:rPr>
        <w:fldChar w:fldCharType="begin" w:fldLock="1"/>
      </w:r>
      <w:r w:rsidRPr="005148FF">
        <w:rPr>
          <w:rFonts w:asciiTheme="minorHAnsi" w:hAnsiTheme="minorHAnsi" w:cstheme="minorHAnsi"/>
          <w:color w:val="000000"/>
          <w:sz w:val="22"/>
          <w:szCs w:val="22"/>
        </w:rPr>
        <w:instrText>ADDIN CSL_CITATION {"citationItems":[{"id":"ITEM-1","itemData":{"URL":"http://ksi.uconn.edu/emergency-conditions/cardiac-conditions/commotio-cordis/","accessed":{"date-parts":[["2017","9","4"]]},"author":[{"dropping-particle":"","family":"Korey Stringer Institute","given":"","non-dropping-particle":"","parse-names":false,"suffix":""}],"id":"ITEM-1","issued":{"date-parts":[["0"]]},"title":"Commotio Cordis","type":"webpage"},"uris":["http://www.mendeley.com/documents/?uuid=51cb2328-145f-3ff2-8290-0f47948668b4"]}],"mendeley":{"formattedCitation":"&lt;sup&gt;89&lt;/sup&gt;","plainTextFormattedCitation":"89","previouslyFormattedCitation":"&lt;sup&gt;89&lt;/sup&gt;"},"properties":{"noteIndex":0},"schema":"https://github.com/citation-style-language/schema/raw/master/csl-citation.json"}</w:instrText>
      </w:r>
      <w:r w:rsidRPr="005148FF">
        <w:rPr>
          <w:rFonts w:asciiTheme="minorHAnsi" w:hAnsiTheme="minorHAnsi" w:cstheme="minorHAnsi"/>
          <w:color w:val="000000"/>
          <w:sz w:val="22"/>
          <w:szCs w:val="22"/>
        </w:rPr>
        <w:fldChar w:fldCharType="separate"/>
      </w:r>
      <w:r w:rsidRPr="005148FF">
        <w:rPr>
          <w:rFonts w:asciiTheme="minorHAnsi" w:hAnsiTheme="minorHAnsi" w:cstheme="minorHAnsi"/>
          <w:noProof/>
          <w:color w:val="000000"/>
          <w:sz w:val="22"/>
          <w:szCs w:val="22"/>
          <w:vertAlign w:val="superscript"/>
        </w:rPr>
        <w:t>89</w:t>
      </w:r>
      <w:r w:rsidRPr="005148FF">
        <w:rPr>
          <w:rFonts w:asciiTheme="minorHAnsi" w:hAnsiTheme="minorHAnsi" w:cstheme="minorHAnsi"/>
          <w:color w:val="000000"/>
          <w:sz w:val="22"/>
          <w:szCs w:val="22"/>
        </w:rPr>
        <w:fldChar w:fldCharType="end"/>
      </w:r>
    </w:p>
    <w:p w14:paraId="620196F4" w14:textId="48355FEF" w:rsidR="00AC35AD" w:rsidRPr="005148FF" w:rsidRDefault="00AC35AD" w:rsidP="00AC35AD">
      <w:pPr>
        <w:rPr>
          <w:rFonts w:asciiTheme="minorHAnsi" w:hAnsiTheme="minorHAnsi" w:cstheme="minorHAnsi"/>
          <w:b/>
          <w:color w:val="000000"/>
          <w:sz w:val="22"/>
          <w:szCs w:val="22"/>
        </w:rPr>
      </w:pPr>
      <w:r w:rsidRPr="005148FF">
        <w:rPr>
          <w:rFonts w:asciiTheme="minorHAnsi" w:hAnsiTheme="minorHAnsi" w:cstheme="minorHAnsi"/>
          <w:b/>
          <w:color w:val="000000"/>
          <w:sz w:val="22"/>
          <w:szCs w:val="22"/>
        </w:rPr>
        <w:t>Product liability</w:t>
      </w:r>
    </w:p>
    <w:p w14:paraId="61EE3F69" w14:textId="76D199AE" w:rsidR="00AC35AD" w:rsidRPr="005148FF" w:rsidRDefault="00AC35AD" w:rsidP="00AC35AD">
      <w:pPr>
        <w:rPr>
          <w:rFonts w:asciiTheme="minorHAnsi" w:hAnsiTheme="minorHAnsi" w:cstheme="minorHAnsi"/>
          <w:color w:val="000000"/>
          <w:sz w:val="22"/>
          <w:szCs w:val="22"/>
        </w:rPr>
      </w:pPr>
      <w:r w:rsidRPr="005148FF">
        <w:rPr>
          <w:rFonts w:asciiTheme="minorHAnsi" w:hAnsiTheme="minorHAnsi" w:cstheme="minorHAnsi"/>
          <w:color w:val="000000"/>
          <w:sz w:val="22"/>
          <w:szCs w:val="22"/>
        </w:rPr>
        <w:t>The responsibility of the manufacturer, distributor, and seller of a product to deliver products free of defects that could cause harm and to compensate for any injury caused by defective merchandise.</w:t>
      </w:r>
    </w:p>
    <w:p w14:paraId="2F3E2A5C" w14:textId="375A5475" w:rsidR="00AC35AD" w:rsidRPr="005148FF" w:rsidRDefault="00AC35AD">
      <w:pPr>
        <w:rPr>
          <w:rFonts w:asciiTheme="minorHAnsi" w:hAnsiTheme="minorHAnsi" w:cstheme="minorHAnsi"/>
          <w:b/>
          <w:color w:val="000000"/>
          <w:sz w:val="22"/>
          <w:szCs w:val="22"/>
        </w:rPr>
      </w:pPr>
      <w:r w:rsidRPr="005148FF">
        <w:rPr>
          <w:rFonts w:asciiTheme="minorHAnsi" w:hAnsiTheme="minorHAnsi" w:cstheme="minorHAnsi"/>
          <w:b/>
          <w:color w:val="000000"/>
          <w:sz w:val="22"/>
          <w:szCs w:val="22"/>
        </w:rPr>
        <w:t>Protective equipment</w:t>
      </w:r>
    </w:p>
    <w:p w14:paraId="716E079A" w14:textId="3AFC1A11" w:rsidR="00FE1A69" w:rsidRPr="005148FF" w:rsidRDefault="00AC35AD">
      <w:pPr>
        <w:rPr>
          <w:rFonts w:asciiTheme="minorHAnsi" w:hAnsiTheme="minorHAnsi" w:cstheme="minorHAnsi"/>
          <w:color w:val="000000"/>
          <w:sz w:val="22"/>
          <w:szCs w:val="22"/>
        </w:rPr>
      </w:pPr>
      <w:r w:rsidRPr="005148FF">
        <w:rPr>
          <w:rFonts w:asciiTheme="minorHAnsi" w:hAnsiTheme="minorHAnsi" w:cstheme="minorHAnsi"/>
          <w:color w:val="000000"/>
          <w:sz w:val="22"/>
          <w:szCs w:val="22"/>
        </w:rPr>
        <w:t>Various items worn to reduce the risk of injury from sport or activity.</w:t>
      </w:r>
    </w:p>
    <w:sectPr w:rsidR="00FE1A69" w:rsidRPr="005148F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35AD"/>
    <w:rsid w:val="001D2D57"/>
    <w:rsid w:val="00342172"/>
    <w:rsid w:val="004734F4"/>
    <w:rsid w:val="00496571"/>
    <w:rsid w:val="005148FF"/>
    <w:rsid w:val="005C28E3"/>
    <w:rsid w:val="00646786"/>
    <w:rsid w:val="006C05D3"/>
    <w:rsid w:val="007C2336"/>
    <w:rsid w:val="008A4084"/>
    <w:rsid w:val="00AC35AD"/>
    <w:rsid w:val="00B74F3C"/>
    <w:rsid w:val="00ED6C9B"/>
    <w:rsid w:val="00F054D8"/>
    <w:rsid w:val="00F062E7"/>
    <w:rsid w:val="00FE1A6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2FE110"/>
  <w15:chartTrackingRefBased/>
  <w15:docId w15:val="{9D420D79-814B-4793-BFA8-982A6BBC07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C35AD"/>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Revision">
    <w:name w:val="Revision"/>
    <w:hidden/>
    <w:uiPriority w:val="99"/>
    <w:semiHidden/>
    <w:rsid w:val="001D2D57"/>
    <w:pPr>
      <w:spacing w:after="0" w:line="240" w:lineRule="auto"/>
    </w:pPr>
    <w:rPr>
      <w:rFonts w:ascii="Times New Roman" w:eastAsia="Times New Roman" w:hAnsi="Times New Roman" w:cs="Times New Roman"/>
      <w:sz w:val="24"/>
      <w:szCs w:val="24"/>
    </w:rPr>
  </w:style>
  <w:style w:type="character" w:styleId="CommentReference">
    <w:name w:val="annotation reference"/>
    <w:basedOn w:val="DefaultParagraphFont"/>
    <w:uiPriority w:val="99"/>
    <w:semiHidden/>
    <w:unhideWhenUsed/>
    <w:rsid w:val="005C28E3"/>
    <w:rPr>
      <w:sz w:val="16"/>
      <w:szCs w:val="16"/>
    </w:rPr>
  </w:style>
  <w:style w:type="paragraph" w:styleId="CommentText">
    <w:name w:val="annotation text"/>
    <w:basedOn w:val="Normal"/>
    <w:link w:val="CommentTextChar"/>
    <w:uiPriority w:val="99"/>
    <w:unhideWhenUsed/>
    <w:rsid w:val="005C28E3"/>
    <w:rPr>
      <w:sz w:val="20"/>
      <w:szCs w:val="20"/>
    </w:rPr>
  </w:style>
  <w:style w:type="character" w:customStyle="1" w:styleId="CommentTextChar">
    <w:name w:val="Comment Text Char"/>
    <w:basedOn w:val="DefaultParagraphFont"/>
    <w:link w:val="CommentText"/>
    <w:uiPriority w:val="99"/>
    <w:rsid w:val="005C28E3"/>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5C28E3"/>
    <w:rPr>
      <w:b/>
      <w:bCs/>
    </w:rPr>
  </w:style>
  <w:style w:type="character" w:customStyle="1" w:styleId="CommentSubjectChar">
    <w:name w:val="Comment Subject Char"/>
    <w:basedOn w:val="CommentTextChar"/>
    <w:link w:val="CommentSubject"/>
    <w:uiPriority w:val="99"/>
    <w:semiHidden/>
    <w:rsid w:val="005C28E3"/>
    <w:rPr>
      <w:rFonts w:ascii="Times New Roman" w:eastAsia="Times New Roman" w:hAnsi="Times New Roman" w:cs="Times New Roman"/>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59ca233b-f72d-4bec-9318-80a7585eb732">
      <Terms xmlns="http://schemas.microsoft.com/office/infopath/2007/PartnerControls"/>
    </lcf76f155ced4ddcb4097134ff3c332f>
    <Order0 xmlns="59ca233b-f72d-4bec-9318-80a7585eb732">0</Order0>
    <Vendor xmlns="59ca233b-f72d-4bec-9318-80a7585eb732" xsi:nil="true"/>
    <Division xmlns="59ca233b-f72d-4bec-9318-80a7585eb732" xsi:nil="true"/>
    <TaxCatchAll xmlns="a0aebf02-ecd4-408a-a2a6-04cd48f4325f"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A7FBC9A1F171064B9DBE138560CD8427" ma:contentTypeVersion="17" ma:contentTypeDescription="Create a new document." ma:contentTypeScope="" ma:versionID="fdf7aa5d657730bd86a1511242055670">
  <xsd:schema xmlns:xsd="http://www.w3.org/2001/XMLSchema" xmlns:xs="http://www.w3.org/2001/XMLSchema" xmlns:p="http://schemas.microsoft.com/office/2006/metadata/properties" xmlns:ns2="59ca233b-f72d-4bec-9318-80a7585eb732" xmlns:ns3="a0aebf02-ecd4-408a-a2a6-04cd48f4325f" targetNamespace="http://schemas.microsoft.com/office/2006/metadata/properties" ma:root="true" ma:fieldsID="3ae854d5fe08bd6e422222d12fd31d6b" ns2:_="" ns3:_="">
    <xsd:import namespace="59ca233b-f72d-4bec-9318-80a7585eb732"/>
    <xsd:import namespace="a0aebf02-ecd4-408a-a2a6-04cd48f4325f"/>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MediaServiceBillingMetadata" minOccurs="0"/>
                <xsd:element ref="ns2:lcf76f155ced4ddcb4097134ff3c332f" minOccurs="0"/>
                <xsd:element ref="ns3:TaxCatchAll" minOccurs="0"/>
                <xsd:element ref="ns2:MediaServiceOCR" minOccurs="0"/>
                <xsd:element ref="ns2:Order0" minOccurs="0"/>
                <xsd:element ref="ns2:Vendor" minOccurs="0"/>
                <xsd:element ref="ns2:Division"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9ca233b-f72d-4bec-9318-80a7585eb73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BillingMetadata" ma:index="15" nillable="true" ma:displayName="MediaServiceBillingMetadata" ma:hidden="true" ma:internalName="MediaServiceBillingMetadata" ma:readOnly="true">
      <xsd:simpleType>
        <xsd:restriction base="dms:Note"/>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837441c6-92f8-4530-8294-002a8837bf3a"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element name="Order0" ma:index="20" nillable="true" ma:displayName="Order" ma:default="0" ma:internalName="Order0" ma:percentage="FALSE">
      <xsd:simpleType>
        <xsd:restriction base="dms:Number">
          <xsd:maxInclusive value="1.7976931348623157e+308"/>
          <xsd:minInclusive value="-1.7976931348623157e+308"/>
        </xsd:restriction>
      </xsd:simpleType>
    </xsd:element>
    <xsd:element name="Vendor" ma:index="21" nillable="true" ma:displayName="Vendor" ma:format="Dropdown" ma:internalName="Vendor">
      <xsd:simpleType>
        <xsd:restriction base="dms:Choice">
          <xsd:enumeration value="S4C"/>
          <xsd:enumeration value="MPS"/>
          <xsd:enumeration value="Westchester"/>
          <xsd:enumeration value="Amnet"/>
        </xsd:restriction>
      </xsd:simpleType>
    </xsd:element>
    <xsd:element name="Division" ma:index="22" nillable="true" ma:displayName="Division" ma:format="Dropdown" ma:internalName="Division">
      <xsd:simpleType>
        <xsd:restriction base="dms:Choice">
          <xsd:enumeration value="Academic"/>
          <xsd:enumeration value="TP"/>
          <xsd:enumeration value="Lotus"/>
        </xsd:restriction>
      </xsd:simpleType>
    </xsd:element>
    <xsd:element name="MediaServiceLocation" ma:index="23"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0aebf02-ecd4-408a-a2a6-04cd48f4325f"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8f080c91-fea2-4c98-8abf-6c50f782842a}" ma:internalName="TaxCatchAll" ma:showField="CatchAllData" ma:web="a0aebf02-ecd4-408a-a2a6-04cd48f4325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F91551C0-2701-49F3-AAFB-AC2FC5A99A47}">
  <ds:schemaRefs>
    <ds:schemaRef ds:uri="http://schemas.microsoft.com/office/2006/metadata/properties"/>
    <ds:schemaRef ds:uri="http://schemas.microsoft.com/office/infopath/2007/PartnerControls"/>
    <ds:schemaRef ds:uri="59ca233b-f72d-4bec-9318-80a7585eb732"/>
    <ds:schemaRef ds:uri="a0aebf02-ecd4-408a-a2a6-04cd48f4325f"/>
  </ds:schemaRefs>
</ds:datastoreItem>
</file>

<file path=customXml/itemProps2.xml><?xml version="1.0" encoding="utf-8"?>
<ds:datastoreItem xmlns:ds="http://schemas.openxmlformats.org/officeDocument/2006/customXml" ds:itemID="{EC101D1A-AAAE-40C1-929D-00796218106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9ca233b-f72d-4bec-9318-80a7585eb732"/>
    <ds:schemaRef ds:uri="a0aebf02-ecd4-408a-a2a6-04cd48f4325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867D8E5-C869-4022-A149-69A7AA23BF7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Pages>
  <Words>281</Words>
  <Characters>1607</Characters>
  <Application>Microsoft Office Word</Application>
  <DocSecurity>0</DocSecurity>
  <Lines>13</Lines>
  <Paragraphs>3</Paragraphs>
  <ScaleCrop>false</ScaleCrop>
  <Company/>
  <LinksUpToDate>false</LinksUpToDate>
  <CharactersWithSpaces>1885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Hannah Werner</dc:creator>
  <cp:keywords/>
  <dc:description/>
  <cp:lastModifiedBy>Claire Copa</cp:lastModifiedBy>
  <cp:revision>9</cp:revision>
  <dcterms:created xsi:type="dcterms:W3CDTF">2026-09-09T19:18:00Z</dcterms:created>
  <dcterms:modified xsi:type="dcterms:W3CDTF">2026-10-15T01:50:00Z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0x010100A7FBC9A1F171064B9DBE138560CD8427</vt:lpwstr>
  </property>
</Properties>
</file>