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EEB20" w14:textId="51070A38" w:rsidR="00BB1FFB" w:rsidRPr="0062205C" w:rsidRDefault="00BB1FFB" w:rsidP="0062205C">
      <w:pPr>
        <w:spacing w:before="480" w:after="200"/>
        <w:rPr>
          <w:rFonts w:asciiTheme="minorHAnsi" w:eastAsiaTheme="majorEastAsia" w:hAnsiTheme="minorHAnsi" w:cstheme="minorHAnsi"/>
          <w:b/>
          <w:bCs/>
          <w:color w:val="2F5496"/>
          <w:sz w:val="28"/>
          <w:szCs w:val="40"/>
          <w:lang w:val="en"/>
        </w:rPr>
      </w:pPr>
      <w:r w:rsidRPr="0062205C">
        <w:rPr>
          <w:rFonts w:asciiTheme="minorHAnsi" w:eastAsiaTheme="majorEastAsia" w:hAnsiTheme="minorHAnsi" w:cstheme="minorHAnsi"/>
          <w:b/>
          <w:bCs/>
          <w:color w:val="2F5496"/>
          <w:sz w:val="28"/>
          <w:szCs w:val="40"/>
          <w:lang w:val="en"/>
        </w:rPr>
        <w:t>Chapter 12</w:t>
      </w:r>
    </w:p>
    <w:p w14:paraId="18C143B4" w14:textId="3489DD9A" w:rsidR="00BB1FFB" w:rsidRPr="0062205C" w:rsidRDefault="00BB1FFB" w:rsidP="00BB1FFB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62205C">
        <w:rPr>
          <w:rFonts w:asciiTheme="minorHAnsi" w:hAnsiTheme="minorHAnsi" w:cstheme="minorHAnsi"/>
          <w:b/>
          <w:bCs/>
          <w:color w:val="000000"/>
          <w:sz w:val="22"/>
          <w:szCs w:val="22"/>
        </w:rPr>
        <w:t>Antagonist muscle</w:t>
      </w:r>
    </w:p>
    <w:p w14:paraId="61E6BA28" w14:textId="139CE68B" w:rsidR="00BB1FFB" w:rsidRPr="0062205C" w:rsidRDefault="00BB1FFB" w:rsidP="00BB1FFB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62205C">
        <w:rPr>
          <w:rFonts w:asciiTheme="minorHAnsi" w:hAnsiTheme="minorHAnsi" w:cstheme="minorHAnsi"/>
          <w:color w:val="000000"/>
          <w:sz w:val="22"/>
          <w:szCs w:val="22"/>
        </w:rPr>
        <w:t>A muscle with the opposite action of the prime mover.</w:t>
      </w:r>
    </w:p>
    <w:p w14:paraId="282AE730" w14:textId="77C92FA8" w:rsidR="00BB1FFB" w:rsidRPr="0062205C" w:rsidRDefault="00BB1FFB" w:rsidP="00BB1FFB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62205C">
        <w:rPr>
          <w:rFonts w:asciiTheme="minorHAnsi" w:hAnsiTheme="minorHAnsi" w:cstheme="minorHAnsi"/>
          <w:b/>
          <w:bCs/>
          <w:color w:val="000000"/>
          <w:sz w:val="22"/>
          <w:szCs w:val="22"/>
        </w:rPr>
        <w:t>Density</w:t>
      </w:r>
    </w:p>
    <w:p w14:paraId="6B807F7F" w14:textId="05451514" w:rsidR="00BB1FFB" w:rsidRPr="0062205C" w:rsidRDefault="00BB1FFB" w:rsidP="00BB1FFB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62205C">
        <w:rPr>
          <w:rFonts w:asciiTheme="minorHAnsi" w:hAnsiTheme="minorHAnsi" w:cstheme="minorHAnsi"/>
          <w:color w:val="000000"/>
          <w:sz w:val="22"/>
          <w:szCs w:val="22"/>
        </w:rPr>
        <w:t>The weight of a product as compared to its size. Typically, products that boast higher density offer greater protection and are more resistant to deformation and impact.</w:t>
      </w:r>
    </w:p>
    <w:p w14:paraId="0F02692C" w14:textId="36DEF96D" w:rsidR="00BB1FFB" w:rsidRPr="0062205C" w:rsidRDefault="00BB1FFB" w:rsidP="00BB1FFB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62205C">
        <w:rPr>
          <w:rFonts w:asciiTheme="minorHAnsi" w:hAnsiTheme="minorHAnsi" w:cstheme="minorHAnsi"/>
          <w:b/>
          <w:bCs/>
          <w:color w:val="000000"/>
          <w:sz w:val="22"/>
          <w:szCs w:val="22"/>
        </w:rPr>
        <w:t>Mallet finger</w:t>
      </w:r>
    </w:p>
    <w:p w14:paraId="3BA82BB7" w14:textId="44E136DC" w:rsidR="00BB1FFB" w:rsidRPr="0062205C" w:rsidRDefault="00BB1FFB" w:rsidP="00BB1FFB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62205C">
        <w:rPr>
          <w:rFonts w:asciiTheme="minorHAnsi" w:hAnsiTheme="minorHAnsi" w:cstheme="minorHAnsi"/>
          <w:color w:val="000000"/>
          <w:sz w:val="22"/>
          <w:szCs w:val="22"/>
        </w:rPr>
        <w:t>Rupture of one or more of the distal extensor tendons of the hand or an avulsion of the extensor tendon from the distal phalanx of the thumb or finger.</w:t>
      </w:r>
    </w:p>
    <w:p w14:paraId="22B32E51" w14:textId="430B54B2" w:rsidR="00BB1FFB" w:rsidRPr="0062205C" w:rsidRDefault="00BB1FFB" w:rsidP="00BB1FFB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62205C">
        <w:rPr>
          <w:rFonts w:asciiTheme="minorHAnsi" w:hAnsiTheme="minorHAnsi" w:cstheme="minorHAnsi"/>
          <w:b/>
          <w:color w:val="000000"/>
          <w:sz w:val="22"/>
          <w:szCs w:val="22"/>
        </w:rPr>
        <w:t>Product liability</w:t>
      </w:r>
    </w:p>
    <w:p w14:paraId="3DA1D9A2" w14:textId="5BD8368D" w:rsidR="00BB1FFB" w:rsidRPr="0062205C" w:rsidRDefault="00BB1FFB" w:rsidP="00BB1FFB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62205C">
        <w:rPr>
          <w:rFonts w:asciiTheme="minorHAnsi" w:hAnsiTheme="minorHAnsi" w:cstheme="minorHAnsi"/>
          <w:color w:val="000000"/>
          <w:sz w:val="22"/>
          <w:szCs w:val="22"/>
        </w:rPr>
        <w:t xml:space="preserve">The responsibility of the manufacturer, distributor, and seller of a product to deliver products free of defects that </w:t>
      </w:r>
      <w:r w:rsidR="003B38AB">
        <w:rPr>
          <w:rFonts w:asciiTheme="minorHAnsi" w:hAnsiTheme="minorHAnsi" w:cstheme="minorHAnsi"/>
          <w:color w:val="000000"/>
          <w:sz w:val="22"/>
          <w:szCs w:val="22"/>
        </w:rPr>
        <w:t xml:space="preserve">could </w:t>
      </w:r>
      <w:r w:rsidRPr="0062205C">
        <w:rPr>
          <w:rFonts w:asciiTheme="minorHAnsi" w:hAnsiTheme="minorHAnsi" w:cstheme="minorHAnsi"/>
          <w:color w:val="000000"/>
          <w:sz w:val="22"/>
          <w:szCs w:val="22"/>
        </w:rPr>
        <w:t>cause harm and to compensate for any injury caused by defective merchandise that they have provided for sale.</w:t>
      </w:r>
    </w:p>
    <w:p w14:paraId="495BB707" w14:textId="04BB97DB" w:rsidR="00BB1FFB" w:rsidRPr="0062205C" w:rsidRDefault="00BB1FFB" w:rsidP="00BB1FFB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62205C">
        <w:rPr>
          <w:rFonts w:asciiTheme="minorHAnsi" w:hAnsiTheme="minorHAnsi" w:cstheme="minorHAnsi"/>
          <w:b/>
          <w:bCs/>
          <w:color w:val="000000"/>
          <w:sz w:val="22"/>
          <w:szCs w:val="22"/>
        </w:rPr>
        <w:t>Prophylactic procedures</w:t>
      </w:r>
    </w:p>
    <w:p w14:paraId="0526E0A4" w14:textId="5C411F54" w:rsidR="00BB1FFB" w:rsidRPr="0062205C" w:rsidRDefault="00BB1FFB" w:rsidP="00BB1FFB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62205C">
        <w:rPr>
          <w:rFonts w:asciiTheme="minorHAnsi" w:hAnsiTheme="minorHAnsi" w:cstheme="minorHAnsi"/>
          <w:color w:val="000000"/>
          <w:sz w:val="22"/>
          <w:szCs w:val="22"/>
        </w:rPr>
        <w:t>Various techniques used to guard or protect a body part from injury or reinjury.</w:t>
      </w:r>
    </w:p>
    <w:p w14:paraId="7846F21C" w14:textId="1BDAA247" w:rsidR="00BB1FFB" w:rsidRPr="0062205C" w:rsidRDefault="00BB1FFB" w:rsidP="00BB1FFB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62205C">
        <w:rPr>
          <w:rFonts w:asciiTheme="minorHAnsi" w:hAnsiTheme="minorHAnsi" w:cstheme="minorHAnsi"/>
          <w:b/>
          <w:color w:val="000000"/>
          <w:sz w:val="22"/>
          <w:szCs w:val="22"/>
        </w:rPr>
        <w:t>Protective equipment</w:t>
      </w:r>
    </w:p>
    <w:p w14:paraId="3F849D50" w14:textId="464644AE" w:rsidR="00BB1FFB" w:rsidRPr="0062205C" w:rsidRDefault="00BB1FFB" w:rsidP="00BB1FFB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62205C">
        <w:rPr>
          <w:rFonts w:asciiTheme="minorHAnsi" w:hAnsiTheme="minorHAnsi" w:cstheme="minorHAnsi"/>
          <w:color w:val="000000"/>
          <w:sz w:val="22"/>
          <w:szCs w:val="22"/>
        </w:rPr>
        <w:t>Various items worn to help reduce the risk of injury from sport or activity.</w:t>
      </w:r>
    </w:p>
    <w:p w14:paraId="01C7D31D" w14:textId="4FC3E202" w:rsidR="00BB1FFB" w:rsidRPr="0062205C" w:rsidRDefault="00BB1FFB" w:rsidP="00BB1FFB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62205C">
        <w:rPr>
          <w:rFonts w:asciiTheme="minorHAnsi" w:hAnsiTheme="minorHAnsi" w:cstheme="minorHAnsi"/>
          <w:b/>
          <w:bCs/>
          <w:color w:val="000000"/>
          <w:sz w:val="22"/>
          <w:szCs w:val="22"/>
        </w:rPr>
        <w:t>Rigidity</w:t>
      </w:r>
    </w:p>
    <w:p w14:paraId="5D93E692" w14:textId="0773D53A" w:rsidR="00BB1FFB" w:rsidRPr="0062205C" w:rsidRDefault="00BB1FFB" w:rsidP="00BB1FFB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62205C">
        <w:rPr>
          <w:rFonts w:asciiTheme="minorHAnsi" w:hAnsiTheme="minorHAnsi" w:cstheme="minorHAnsi"/>
          <w:color w:val="000000"/>
          <w:sz w:val="22"/>
          <w:szCs w:val="22"/>
        </w:rPr>
        <w:t xml:space="preserve">Also known as </w:t>
      </w:r>
      <w:r w:rsidRPr="00283CD1">
        <w:rPr>
          <w:rFonts w:asciiTheme="minorHAnsi" w:hAnsiTheme="minorHAnsi" w:cstheme="minorHAnsi"/>
          <w:i/>
          <w:iCs/>
          <w:color w:val="000000"/>
          <w:sz w:val="22"/>
          <w:szCs w:val="22"/>
        </w:rPr>
        <w:t>stiffness</w:t>
      </w:r>
      <w:r w:rsidRPr="0062205C">
        <w:rPr>
          <w:rFonts w:asciiTheme="minorHAnsi" w:hAnsiTheme="minorHAnsi" w:cstheme="minorHAnsi"/>
          <w:color w:val="000000"/>
          <w:sz w:val="22"/>
          <w:szCs w:val="22"/>
        </w:rPr>
        <w:t>; the amount of bending or compression that occurs in response to a measured amount of applied stress.</w:t>
      </w:r>
    </w:p>
    <w:p w14:paraId="55AEE940" w14:textId="144B215D" w:rsidR="00BB1FFB" w:rsidRPr="0062205C" w:rsidRDefault="00BB1FFB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62205C">
        <w:rPr>
          <w:rFonts w:asciiTheme="minorHAnsi" w:hAnsiTheme="minorHAnsi" w:cstheme="minorHAnsi"/>
          <w:b/>
          <w:bCs/>
          <w:color w:val="000000"/>
          <w:sz w:val="22"/>
          <w:szCs w:val="22"/>
        </w:rPr>
        <w:t>Tensile strength</w:t>
      </w:r>
    </w:p>
    <w:p w14:paraId="178C9238" w14:textId="2CC326A9" w:rsidR="00FE1A69" w:rsidRPr="0062205C" w:rsidRDefault="00BB1FFB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62205C">
        <w:rPr>
          <w:rFonts w:asciiTheme="minorHAnsi" w:hAnsiTheme="minorHAnsi" w:cstheme="minorHAnsi"/>
          <w:color w:val="000000"/>
          <w:sz w:val="22"/>
          <w:szCs w:val="22"/>
        </w:rPr>
        <w:t>Measurement of how much tensile force a material can withstand before it fails. This is often reported as pounds per square inch.</w:t>
      </w:r>
    </w:p>
    <w:sectPr w:rsidR="00FE1A69" w:rsidRPr="006220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FFB"/>
    <w:rsid w:val="00283CD1"/>
    <w:rsid w:val="003A20B2"/>
    <w:rsid w:val="003B38AB"/>
    <w:rsid w:val="0062205C"/>
    <w:rsid w:val="006C05D3"/>
    <w:rsid w:val="00737BB5"/>
    <w:rsid w:val="00827533"/>
    <w:rsid w:val="008A4084"/>
    <w:rsid w:val="00BB1FFB"/>
    <w:rsid w:val="00C53C0F"/>
    <w:rsid w:val="00D36F8B"/>
    <w:rsid w:val="00ED6C9B"/>
    <w:rsid w:val="00F054D8"/>
    <w:rsid w:val="00FD0E50"/>
    <w:rsid w:val="00FE1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D6F5E"/>
  <w15:chartTrackingRefBased/>
  <w15:docId w15:val="{62A410C4-6459-40CB-AEC5-77926F173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1FF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3A20B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Props1.xml><?xml version="1.0" encoding="utf-8"?>
<ds:datastoreItem xmlns:ds="http://schemas.openxmlformats.org/officeDocument/2006/customXml" ds:itemID="{FC360485-B005-4522-88BF-7FAD7523C22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605D696-B31A-4A77-8090-134DBDB52F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B533F15-1A74-43AA-B115-31A7D12FCA04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Werner</dc:creator>
  <cp:keywords/>
  <dc:description/>
  <cp:lastModifiedBy>Claire Copa</cp:lastModifiedBy>
  <cp:revision>8</cp:revision>
  <dcterms:created xsi:type="dcterms:W3CDTF">2026-09-09T19:18:00Z</dcterms:created>
  <dcterms:modified xsi:type="dcterms:W3CDTF">2026-10-15T01:50:00Z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