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30CFB" w14:textId="38F1635B" w:rsidR="00EB01AE" w:rsidRPr="00351801" w:rsidRDefault="00EB01AE" w:rsidP="00351801">
      <w:pPr>
        <w:spacing w:before="480" w:line="240" w:lineRule="auto"/>
        <w:rPr>
          <w:rFonts w:asciiTheme="minorHAnsi" w:eastAsiaTheme="majorEastAsia" w:hAnsiTheme="minorHAnsi" w:cstheme="minorHAnsi"/>
          <w:b/>
          <w:bCs/>
          <w:color w:val="2F5496"/>
          <w:sz w:val="28"/>
          <w:szCs w:val="40"/>
          <w:lang w:val="en"/>
        </w:rPr>
      </w:pPr>
      <w:r w:rsidRPr="00351801">
        <w:rPr>
          <w:rFonts w:asciiTheme="minorHAnsi" w:eastAsiaTheme="majorEastAsia" w:hAnsiTheme="minorHAnsi" w:cstheme="minorHAnsi"/>
          <w:b/>
          <w:bCs/>
          <w:color w:val="2F5496"/>
          <w:sz w:val="28"/>
          <w:szCs w:val="40"/>
          <w:lang w:val="en"/>
        </w:rPr>
        <w:t>Chapter 24</w:t>
      </w:r>
    </w:p>
    <w:p w14:paraId="2D5DB3C7" w14:textId="233F4175" w:rsidR="00EB01AE" w:rsidRPr="00145C18" w:rsidRDefault="00EB01AE" w:rsidP="00EB01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b/>
        </w:rPr>
      </w:pPr>
      <w:r w:rsidRPr="00145C18">
        <w:rPr>
          <w:rFonts w:asciiTheme="minorHAnsi" w:eastAsia="Times New Roman" w:hAnsiTheme="minorHAnsi" w:cstheme="minorHAnsi"/>
          <w:b/>
        </w:rPr>
        <w:t>Boxer fracture</w:t>
      </w:r>
    </w:p>
    <w:p w14:paraId="3840EECD" w14:textId="653E9818" w:rsidR="00EB01AE" w:rsidRPr="00145C18" w:rsidRDefault="00EB01AE" w:rsidP="00EB01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</w:rPr>
      </w:pPr>
      <w:r w:rsidRPr="00145C18">
        <w:rPr>
          <w:rFonts w:asciiTheme="minorHAnsi" w:eastAsia="Times New Roman" w:hAnsiTheme="minorHAnsi" w:cstheme="minorHAnsi"/>
        </w:rPr>
        <w:t>Fracture of the fifth metacarpal neck having apex dorsal angulation.</w:t>
      </w:r>
    </w:p>
    <w:p w14:paraId="43C8D155" w14:textId="516E7D28" w:rsidR="00EB01AE" w:rsidRPr="00145C18" w:rsidRDefault="00EB01AE" w:rsidP="00EB01AE">
      <w:pPr>
        <w:spacing w:after="0" w:line="240" w:lineRule="auto"/>
        <w:rPr>
          <w:rFonts w:asciiTheme="minorHAnsi" w:eastAsia="Times New Roman" w:hAnsiTheme="minorHAnsi" w:cstheme="minorHAnsi"/>
          <w:b/>
        </w:rPr>
      </w:pPr>
      <w:bookmarkStart w:id="0" w:name="_lnxbz9" w:colFirst="0" w:colLast="0"/>
      <w:bookmarkStart w:id="1" w:name="_Hlk44660888"/>
      <w:bookmarkEnd w:id="0"/>
      <w:r w:rsidRPr="00145C18">
        <w:rPr>
          <w:rFonts w:asciiTheme="minorHAnsi" w:eastAsia="Times New Roman" w:hAnsiTheme="minorHAnsi" w:cstheme="minorHAnsi"/>
          <w:b/>
        </w:rPr>
        <w:t>Cast index</w:t>
      </w:r>
    </w:p>
    <w:p w14:paraId="2E15F92D" w14:textId="56B02DE1" w:rsidR="00EB01AE" w:rsidRPr="00145C18" w:rsidRDefault="00EB01AE" w:rsidP="00EB01AE">
      <w:pPr>
        <w:spacing w:after="0" w:line="240" w:lineRule="auto"/>
        <w:rPr>
          <w:rFonts w:asciiTheme="minorHAnsi" w:eastAsia="Times New Roman" w:hAnsiTheme="minorHAnsi" w:cstheme="minorHAnsi"/>
        </w:rPr>
      </w:pPr>
      <w:r w:rsidRPr="00145C18">
        <w:rPr>
          <w:rFonts w:asciiTheme="minorHAnsi" w:eastAsia="Times New Roman" w:hAnsiTheme="minorHAnsi" w:cstheme="minorHAnsi"/>
        </w:rPr>
        <w:t>The ratio of sagittal to coronal width from the inside edges of the cast at the fracture site.</w:t>
      </w:r>
    </w:p>
    <w:p w14:paraId="67D03335" w14:textId="01A80FB7" w:rsidR="00EB01AE" w:rsidRPr="00145C18" w:rsidRDefault="00EB01AE" w:rsidP="00EB01AE">
      <w:pPr>
        <w:spacing w:after="0" w:line="240" w:lineRule="auto"/>
        <w:rPr>
          <w:rFonts w:asciiTheme="minorHAnsi" w:eastAsia="Times New Roman" w:hAnsiTheme="minorHAnsi" w:cstheme="minorHAnsi"/>
          <w:b/>
        </w:rPr>
      </w:pPr>
      <w:r w:rsidRPr="00145C18">
        <w:rPr>
          <w:rFonts w:asciiTheme="minorHAnsi" w:eastAsia="Times New Roman" w:hAnsiTheme="minorHAnsi" w:cstheme="minorHAnsi"/>
          <w:b/>
        </w:rPr>
        <w:t>Compartment syndrome</w:t>
      </w:r>
    </w:p>
    <w:p w14:paraId="1C0510DC" w14:textId="2BA804E3" w:rsidR="00EB01AE" w:rsidRPr="00145C18" w:rsidRDefault="00EB01AE" w:rsidP="00EB01AE">
      <w:pPr>
        <w:spacing w:after="0" w:line="240" w:lineRule="auto"/>
        <w:rPr>
          <w:rFonts w:asciiTheme="minorHAnsi" w:eastAsia="Times New Roman" w:hAnsiTheme="minorHAnsi" w:cstheme="minorHAnsi"/>
        </w:rPr>
      </w:pPr>
      <w:r w:rsidRPr="00145C18">
        <w:rPr>
          <w:rFonts w:asciiTheme="minorHAnsi" w:eastAsia="Times New Roman" w:hAnsiTheme="minorHAnsi" w:cstheme="minorHAnsi"/>
        </w:rPr>
        <w:t>Neurovascular compromise in soft tissue resulting from increased pressure in a rigid fascial compartment that prevents adequate muscle perfusion.</w:t>
      </w:r>
    </w:p>
    <w:p w14:paraId="431FC2FA" w14:textId="7CF2C35B" w:rsidR="00EB01AE" w:rsidRPr="00145C18" w:rsidRDefault="00EB01AE" w:rsidP="00EB01AE">
      <w:pPr>
        <w:spacing w:after="0" w:line="240" w:lineRule="auto"/>
        <w:rPr>
          <w:rFonts w:asciiTheme="minorHAnsi" w:eastAsia="Times New Roman" w:hAnsiTheme="minorHAnsi" w:cstheme="minorHAnsi"/>
          <w:b/>
        </w:rPr>
      </w:pPr>
      <w:r w:rsidRPr="00145C18">
        <w:rPr>
          <w:rFonts w:asciiTheme="minorHAnsi" w:eastAsia="Times New Roman" w:hAnsiTheme="minorHAnsi" w:cstheme="minorHAnsi"/>
          <w:b/>
        </w:rPr>
        <w:t>Displaced fracture</w:t>
      </w:r>
    </w:p>
    <w:p w14:paraId="096495C7" w14:textId="4F35197D" w:rsidR="00EB01AE" w:rsidRPr="00145C18" w:rsidRDefault="00EB01AE" w:rsidP="00EB01AE">
      <w:pPr>
        <w:spacing w:after="0" w:line="240" w:lineRule="auto"/>
        <w:rPr>
          <w:rFonts w:asciiTheme="minorHAnsi" w:eastAsia="Times New Roman" w:hAnsiTheme="minorHAnsi" w:cstheme="minorHAnsi"/>
        </w:rPr>
      </w:pPr>
      <w:r w:rsidRPr="00145C18">
        <w:rPr>
          <w:rFonts w:asciiTheme="minorHAnsi" w:eastAsia="Times New Roman" w:hAnsiTheme="minorHAnsi" w:cstheme="minorHAnsi"/>
        </w:rPr>
        <w:t>Translation, angulation, rotation, or shortening occurring between two opposing segments of a fractured bone.</w:t>
      </w:r>
    </w:p>
    <w:p w14:paraId="75ECF1C3" w14:textId="3A5E546A" w:rsidR="00EB01AE" w:rsidRPr="00145C18" w:rsidRDefault="00EB01AE" w:rsidP="00EB01AE">
      <w:pPr>
        <w:spacing w:after="0" w:line="240" w:lineRule="auto"/>
        <w:rPr>
          <w:rFonts w:asciiTheme="minorHAnsi" w:eastAsia="Times New Roman" w:hAnsiTheme="minorHAnsi" w:cstheme="minorHAnsi"/>
          <w:b/>
        </w:rPr>
      </w:pPr>
      <w:r w:rsidRPr="00145C18">
        <w:rPr>
          <w:rFonts w:asciiTheme="minorHAnsi" w:eastAsia="Times New Roman" w:hAnsiTheme="minorHAnsi" w:cstheme="minorHAnsi"/>
          <w:b/>
        </w:rPr>
        <w:t>Fracture reduction</w:t>
      </w:r>
    </w:p>
    <w:p w14:paraId="72D29C33" w14:textId="56E6F90B" w:rsidR="00EB01AE" w:rsidRPr="00145C18" w:rsidRDefault="00EB01AE" w:rsidP="00EB01AE">
      <w:pPr>
        <w:spacing w:after="0" w:line="240" w:lineRule="auto"/>
        <w:rPr>
          <w:rFonts w:asciiTheme="minorHAnsi" w:eastAsia="Times New Roman" w:hAnsiTheme="minorHAnsi" w:cstheme="minorHAnsi"/>
        </w:rPr>
      </w:pPr>
      <w:r w:rsidRPr="00145C18">
        <w:rPr>
          <w:rFonts w:asciiTheme="minorHAnsi" w:eastAsia="Times New Roman" w:hAnsiTheme="minorHAnsi" w:cstheme="minorHAnsi"/>
        </w:rPr>
        <w:t>Correction of a displaced fracture using slight exaggeration of the deformity, traction, and then reversal of the deformity to reestablish anatomical alignment.</w:t>
      </w:r>
    </w:p>
    <w:p w14:paraId="10413B57" w14:textId="5CF682F5" w:rsidR="00EB01AE" w:rsidRPr="00145C18" w:rsidRDefault="00EB01AE" w:rsidP="00EB01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  <w:b/>
        </w:rPr>
      </w:pPr>
      <w:r w:rsidRPr="00145C18">
        <w:rPr>
          <w:rFonts w:asciiTheme="minorHAnsi" w:eastAsia="Times New Roman" w:hAnsiTheme="minorHAnsi" w:cstheme="minorHAnsi"/>
          <w:b/>
        </w:rPr>
        <w:t>Intrinsic plus position</w:t>
      </w:r>
    </w:p>
    <w:p w14:paraId="14BF577A" w14:textId="0E05D175" w:rsidR="00EB01AE" w:rsidRPr="00145C18" w:rsidRDefault="00EB01AE" w:rsidP="00EB01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eastAsia="Times New Roman" w:hAnsiTheme="minorHAnsi" w:cstheme="minorHAnsi"/>
        </w:rPr>
      </w:pPr>
      <w:r w:rsidRPr="00145C18">
        <w:rPr>
          <w:rFonts w:asciiTheme="minorHAnsi" w:eastAsia="Times New Roman" w:hAnsiTheme="minorHAnsi" w:cstheme="minorHAnsi"/>
        </w:rPr>
        <w:t>MCP joints flexed to as close to 70 to 90 degrees as is comfortably achievable with the PIP and DIP joints extended.</w:t>
      </w:r>
    </w:p>
    <w:p w14:paraId="4260E22E" w14:textId="55AC3D3F" w:rsidR="00EB01AE" w:rsidRPr="00145C18" w:rsidRDefault="00EB01AE" w:rsidP="00EB01AE">
      <w:pPr>
        <w:spacing w:after="0" w:line="240" w:lineRule="auto"/>
        <w:rPr>
          <w:rFonts w:asciiTheme="minorHAnsi" w:eastAsia="Times New Roman" w:hAnsiTheme="minorHAnsi" w:cstheme="minorHAnsi"/>
          <w:b/>
        </w:rPr>
      </w:pPr>
      <w:r w:rsidRPr="00145C18">
        <w:rPr>
          <w:rFonts w:asciiTheme="minorHAnsi" w:eastAsia="Times New Roman" w:hAnsiTheme="minorHAnsi" w:cstheme="minorHAnsi"/>
          <w:b/>
        </w:rPr>
        <w:t>Position of function</w:t>
      </w:r>
    </w:p>
    <w:p w14:paraId="0E30B209" w14:textId="37E76029" w:rsidR="00FE1A69" w:rsidRPr="00145C18" w:rsidRDefault="00EB01AE" w:rsidP="00EB01AE">
      <w:pPr>
        <w:spacing w:after="0" w:line="240" w:lineRule="auto"/>
        <w:rPr>
          <w:rFonts w:asciiTheme="minorHAnsi" w:eastAsia="Times New Roman" w:hAnsiTheme="minorHAnsi" w:cstheme="minorHAnsi"/>
        </w:rPr>
      </w:pPr>
      <w:r w:rsidRPr="00145C18">
        <w:rPr>
          <w:rFonts w:asciiTheme="minorHAnsi" w:eastAsia="Times New Roman" w:hAnsiTheme="minorHAnsi" w:cstheme="minorHAnsi"/>
        </w:rPr>
        <w:t>Placing the body so that the ankle is in neutral dorsiflexion (no equinus),</w:t>
      </w:r>
      <w:r w:rsidRPr="00145C18">
        <w:rPr>
          <w:rFonts w:asciiTheme="minorHAnsi" w:eastAsia="Times New Roman" w:hAnsiTheme="minorHAnsi" w:cstheme="minorHAnsi"/>
          <w:vertAlign w:val="superscript"/>
        </w:rPr>
        <w:t xml:space="preserve"> </w:t>
      </w:r>
      <w:r w:rsidRPr="00145C18">
        <w:rPr>
          <w:rFonts w:asciiTheme="minorHAnsi" w:eastAsia="Times New Roman" w:hAnsiTheme="minorHAnsi" w:cstheme="minorHAnsi"/>
        </w:rPr>
        <w:t>there is 30 degrees of wrist extension, and the thumb is opposed to midway between maximal radial and palmar abduction.</w:t>
      </w:r>
      <w:bookmarkEnd w:id="1"/>
    </w:p>
    <w:sectPr w:rsidR="00FE1A69" w:rsidRPr="00145C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1AE"/>
    <w:rsid w:val="000D7F7A"/>
    <w:rsid w:val="00145C18"/>
    <w:rsid w:val="001C16E1"/>
    <w:rsid w:val="00351801"/>
    <w:rsid w:val="004E1A4B"/>
    <w:rsid w:val="006C05D3"/>
    <w:rsid w:val="008A4084"/>
    <w:rsid w:val="00A8677E"/>
    <w:rsid w:val="00EB01AE"/>
    <w:rsid w:val="00ED6C9B"/>
    <w:rsid w:val="00F054D8"/>
    <w:rsid w:val="00F429D4"/>
    <w:rsid w:val="00FE1A69"/>
    <w:rsid w:val="00FF5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CCE86"/>
  <w15:chartTrackingRefBased/>
  <w15:docId w15:val="{161769CE-22AD-485D-84B1-BEEC5AA35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1AE"/>
    <w:pPr>
      <w:spacing w:after="200" w:line="276" w:lineRule="auto"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0D7F7A"/>
    <w:pPr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Props1.xml><?xml version="1.0" encoding="utf-8"?>
<ds:datastoreItem xmlns:ds="http://schemas.openxmlformats.org/officeDocument/2006/customXml" ds:itemID="{8FCCF325-4BD6-4355-B421-FFC69A95CA3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C39460B-136F-4A64-B638-3016302744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B4574CE-CDAC-44E7-92A3-E49138ED7FA1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Werner</dc:creator>
  <cp:keywords/>
  <dc:description/>
  <cp:lastModifiedBy>Claire Copa</cp:lastModifiedBy>
  <cp:revision>6</cp:revision>
  <dcterms:created xsi:type="dcterms:W3CDTF">2026-09-09T19:19:00Z</dcterms:created>
  <dcterms:modified xsi:type="dcterms:W3CDTF">2026-10-15T01:50:00Z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