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AD30" w14:textId="6215D850" w:rsidR="006F61FB" w:rsidRDefault="007D4B49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Rubric: </w:t>
      </w:r>
      <w:r w:rsidR="006F61FB" w:rsidRPr="00B074EB">
        <w:rPr>
          <w:rFonts w:ascii="Aptos" w:hAnsi="Aptos" w:eastAsia="Aptos" w:cs="Aptos"/>
          <w:color w:val="000000"/>
          <w:sz w:val="40"/>
          <w:szCs w:val="40"/>
        </w:rPr>
        <w:t>Mountain Bik</w:t>
      </w:r>
      <w:r w:rsidR="002A39BD" w:rsidRPr="00B074EB">
        <w:rPr>
          <w:rFonts w:ascii="Aptos" w:hAnsi="Aptos" w:eastAsia="Aptos" w:cs="Aptos"/>
          <w:color w:val="000000"/>
          <w:sz w:val="40"/>
          <w:szCs w:val="40"/>
        </w:rPr>
        <w:t>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22"/>
        <w:gridCol w:w="1792"/>
        <w:gridCol w:w="1084"/>
        <w:gridCol w:w="400"/>
        <w:gridCol w:w="1620"/>
        <w:gridCol w:w="3258"/>
      </w:tblGrid>
      <w:tr w:rsidR="00E62EFA" w:rsidRPr="00B074EB" w14:paraId="7AFAB964" w14:textId="77777777" w:rsidTr="00CF29C5">
        <w:trPr>
          <w:trHeight w:val="300"/>
        </w:trPr>
        <w:tc>
          <w:tcPr>
            <w:tcW w:w="1422" w:type="dxa"/>
            <w:tcBorders>
              <w:top w:val="nil"/>
              <w:left w:val="nil"/>
              <w:right w:val="nil"/>
            </w:tcBorders>
          </w:tcPr>
          <w:p w14:paraId="2BAAA389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HCP name:</w:t>
            </w:r>
          </w:p>
        </w:tc>
        <w:tc>
          <w:tcPr>
            <w:tcW w:w="3276" w:type="dxa"/>
            <w:gridSpan w:val="3"/>
            <w:tcBorders>
              <w:top w:val="nil"/>
              <w:left w:val="nil"/>
              <w:right w:val="nil"/>
            </w:tcBorders>
          </w:tcPr>
          <w:p w14:paraId="4C507C0F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</w:tcPr>
          <w:p w14:paraId="46B43B9E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Proctor name:</w:t>
            </w:r>
          </w:p>
        </w:tc>
        <w:tc>
          <w:tcPr>
            <w:tcW w:w="3258" w:type="dxa"/>
            <w:tcBorders>
              <w:top w:val="nil"/>
              <w:left w:val="nil"/>
              <w:right w:val="nil"/>
            </w:tcBorders>
          </w:tcPr>
          <w:p w14:paraId="0B5FF305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6BE02E26" w14:textId="77777777" w:rsidTr="00CF29C5">
        <w:trPr>
          <w:trHeight w:val="300"/>
        </w:trPr>
        <w:tc>
          <w:tcPr>
            <w:tcW w:w="3214" w:type="dxa"/>
            <w:gridSpan w:val="2"/>
            <w:shd w:val="clear" w:color="auto" w:fill="A73023"/>
          </w:tcPr>
          <w:p w14:paraId="7FA72277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084" w:type="dxa"/>
            <w:shd w:val="clear" w:color="auto" w:fill="A73023"/>
          </w:tcPr>
          <w:p w14:paraId="49E23A39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5278" w:type="dxa"/>
            <w:gridSpan w:val="3"/>
            <w:shd w:val="clear" w:color="auto" w:fill="A73023"/>
          </w:tcPr>
          <w:p w14:paraId="06E07474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E62EFA" w:rsidRPr="00B074EB" w14:paraId="34779D20" w14:textId="77777777" w:rsidTr="00CF29C5">
        <w:trPr>
          <w:trHeight w:val="530"/>
        </w:trPr>
        <w:tc>
          <w:tcPr>
            <w:tcW w:w="3214" w:type="dxa"/>
            <w:gridSpan w:val="2"/>
            <w:shd w:val="clear" w:color="auto" w:fill="EDD2C4"/>
          </w:tcPr>
          <w:p w14:paraId="125767DC" w14:textId="5DA874E0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 xml:space="preserve">Assess or manages all other aspects of XABCDE as part or primary assessment to determine extent of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mechanism of injury/nature of illness (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MOI/NOI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)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determine threat to life or limb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—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completed within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approximately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3 min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(only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section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required to pass)</w:t>
            </w:r>
          </w:p>
        </w:tc>
        <w:tc>
          <w:tcPr>
            <w:tcW w:w="1084" w:type="dxa"/>
          </w:tcPr>
          <w:p w14:paraId="3E3826BB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0B32BC89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0C2C99C1" w14:textId="77777777" w:rsidTr="00CF29C5">
        <w:trPr>
          <w:trHeight w:val="602"/>
        </w:trPr>
        <w:tc>
          <w:tcPr>
            <w:tcW w:w="3214" w:type="dxa"/>
            <w:gridSpan w:val="2"/>
            <w:shd w:val="clear" w:color="auto" w:fill="EDD2C4"/>
          </w:tcPr>
          <w:p w14:paraId="6BD3A7CB" w14:textId="516A8646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Verbalizes differential diagnosis (can be prompted by proctor) and decision regarding transportation or plan</w:t>
            </w:r>
          </w:p>
        </w:tc>
        <w:tc>
          <w:tcPr>
            <w:tcW w:w="1084" w:type="dxa"/>
          </w:tcPr>
          <w:p w14:paraId="31D9086A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6E24931C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7F975AEA" w14:textId="77777777" w:rsidTr="00CF29C5">
        <w:trPr>
          <w:trHeight w:val="1008"/>
        </w:trPr>
        <w:tc>
          <w:tcPr>
            <w:tcW w:w="3214" w:type="dxa"/>
            <w:gridSpan w:val="2"/>
            <w:shd w:val="clear" w:color="auto" w:fill="EDD2C4"/>
          </w:tcPr>
          <w:p w14:paraId="261328E7" w14:textId="750739FE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Completes any tertiary portions of XABCDE, other assessments or manages other conditions, or addresses any other component of patient care</w:t>
            </w:r>
          </w:p>
        </w:tc>
        <w:tc>
          <w:tcPr>
            <w:tcW w:w="1084" w:type="dxa"/>
          </w:tcPr>
          <w:p w14:paraId="4814EAB4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657CCB7D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11FA008E" w14:textId="77777777" w:rsidTr="00CF29C5">
        <w:trPr>
          <w:trHeight w:val="70"/>
        </w:trPr>
        <w:tc>
          <w:tcPr>
            <w:tcW w:w="3214" w:type="dxa"/>
            <w:gridSpan w:val="2"/>
            <w:shd w:val="clear" w:color="auto" w:fill="EDD2C4"/>
          </w:tcPr>
          <w:p w14:paraId="6C87C169" w14:textId="4666902A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 xml:space="preserve">Uses </w:t>
            </w:r>
            <w:r>
              <w:rPr>
                <w:rFonts w:ascii="Aptos" w:hAnsi="Aptos" w:eastAsia="Aptos" w:cs="Aptos"/>
                <w:color w:val="000000"/>
              </w:rPr>
              <w:t>personal protective equipment (</w:t>
            </w:r>
            <w:r w:rsidRPr="00B074EB">
              <w:rPr>
                <w:rFonts w:ascii="Aptos" w:hAnsi="Aptos" w:eastAsia="Aptos" w:cs="Aptos"/>
                <w:color w:val="000000"/>
              </w:rPr>
              <w:t>PPE</w:t>
            </w:r>
            <w:r>
              <w:rPr>
                <w:rFonts w:ascii="Aptos" w:hAnsi="Aptos" w:eastAsia="Aptos" w:cs="Aptos"/>
                <w:color w:val="000000"/>
              </w:rPr>
              <w:t>)</w:t>
            </w:r>
            <w:r w:rsidRPr="00B074EB">
              <w:rPr>
                <w:rFonts w:ascii="Aptos" w:hAnsi="Aptos" w:eastAsia="Aptos" w:cs="Aptos"/>
                <w:color w:val="000000"/>
              </w:rPr>
              <w:t xml:space="preserve"> and takes other precautions for self, others, and patient as appropriate and available</w:t>
            </w:r>
          </w:p>
        </w:tc>
        <w:tc>
          <w:tcPr>
            <w:tcW w:w="1084" w:type="dxa"/>
          </w:tcPr>
          <w:p w14:paraId="2F13C378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243EA2D8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2153A7BE" w14:textId="77777777" w:rsidTr="00CF29C5">
        <w:trPr>
          <w:trHeight w:val="512"/>
        </w:trPr>
        <w:tc>
          <w:tcPr>
            <w:tcW w:w="3214" w:type="dxa"/>
            <w:gridSpan w:val="2"/>
            <w:shd w:val="clear" w:color="auto" w:fill="EDD2C4"/>
          </w:tcPr>
          <w:p w14:paraId="3EF3F106" w14:textId="35156BE1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Professional provision of health care (demonstrates caring and knowledge, efficient and effective, appropriate affect, </w:t>
            </w:r>
            <w:r w:rsidRPr="006A7ECA">
              <w:rPr>
                <w:rFonts w:ascii="Aptos" w:eastAsia="Aptos" w:hAnsi="Aptos" w:cs="Aptos"/>
                <w:color w:val="000000"/>
                <w:sz w:val="24"/>
                <w:szCs w:val="24"/>
              </w:rPr>
              <w:t>etc</w:t>
            </w:r>
            <w:r>
              <w:rPr>
                <w:rFonts w:ascii="Aptos" w:eastAsia="Aptos" w:hAnsi="Aptos" w:cs="Aptos"/>
                <w:color w:val="000000"/>
                <w:sz w:val="24"/>
                <w:szCs w:val="24"/>
              </w:rPr>
              <w:t>.), continually speaks to patient.</w:t>
            </w:r>
          </w:p>
        </w:tc>
        <w:tc>
          <w:tcPr>
            <w:tcW w:w="1084" w:type="dxa"/>
          </w:tcPr>
          <w:p w14:paraId="2F7237D1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78" w:type="dxa"/>
            <w:gridSpan w:val="3"/>
          </w:tcPr>
          <w:p w14:paraId="4BD40F16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4715F4A" w14:textId="77777777" w:rsidR="00E62EFA" w:rsidRPr="00CF29C5" w:rsidRDefault="00E62EFA" w:rsidP="00E62EFA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0"/>
          <w:szCs w:val="20"/>
        </w:rPr>
      </w:pPr>
      <w:r w:rsidRPr="00CF29C5">
        <w:rPr>
          <w:rFonts w:ascii="Aptos" w:hAnsi="Aptos" w:eastAsia="Aptos" w:cs="Aptos"/>
          <w:color w:val="000000"/>
          <w:sz w:val="20"/>
          <w:szCs w:val="20"/>
        </w:rPr>
        <w:t xml:space="preserve">0 = not performed; 1 = inadequate; 2 = </w:t>
      </w:r>
      <w:r w:rsidRPr="00CF29C5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above.</w:t>
      </w:r>
    </w:p>
    <w:p w14:paraId="1DB05F46" w14:textId="77777777" w:rsidR="00E62EFA" w:rsidRPr="00B074EB" w:rsidRDefault="00E62EFA" w:rsidP="00E62EFA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Cs/>
          <w:color w:val="000000"/>
          <w:sz w:val="24"/>
          <w:szCs w:val="24"/>
        </w:rPr>
        <w:t>Other comments: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