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FAE1" w14:textId="30F25D53" w:rsidR="00A11F3E" w:rsidRDefault="007D4B49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Rubric: </w:t>
      </w:r>
      <w:r w:rsidR="006F61FB" w:rsidRPr="00B074EB">
        <w:rPr>
          <w:rFonts w:ascii="Aptos" w:hAnsi="Aptos" w:eastAsia="Aptos" w:cs="Aptos"/>
          <w:color w:val="000000"/>
          <w:sz w:val="40"/>
          <w:szCs w:val="40"/>
        </w:rPr>
        <w:t>Football</w:t>
      </w:r>
    </w:p>
    <w:tbl>
      <w:tblPr>
        <w:tblStyle w:val="TableGrid"/>
        <w:tblW w:w="4999" w:type="pct"/>
        <w:tblLook w:val="04A0" w:firstRow="1" w:lastRow="0" w:firstColumn="1" w:lastColumn="0" w:noHBand="0" w:noVBand="1"/>
      </w:tblPr>
      <w:tblGrid>
        <w:gridCol w:w="1422"/>
        <w:gridCol w:w="1792"/>
        <w:gridCol w:w="1084"/>
        <w:gridCol w:w="130"/>
        <w:gridCol w:w="1960"/>
        <w:gridCol w:w="3186"/>
      </w:tblGrid>
      <w:tr w:rsidR="00E62EFA" w:rsidRPr="00B074EB" w14:paraId="192A2242" w14:textId="77777777" w:rsidTr="00CF29C5">
        <w:trPr>
          <w:trHeight w:val="300"/>
        </w:trPr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178A99C1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HCP name:</w:t>
            </w:r>
          </w:p>
        </w:tc>
        <w:tc>
          <w:tcPr>
            <w:tcW w:w="3006" w:type="dxa"/>
            <w:gridSpan w:val="3"/>
            <w:tcBorders>
              <w:top w:val="nil"/>
              <w:left w:val="nil"/>
              <w:right w:val="nil"/>
            </w:tcBorders>
          </w:tcPr>
          <w:p w14:paraId="3B393770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right w:val="nil"/>
            </w:tcBorders>
          </w:tcPr>
          <w:p w14:paraId="1D10919E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3187" w:type="dxa"/>
            <w:tcBorders>
              <w:top w:val="nil"/>
              <w:left w:val="nil"/>
              <w:right w:val="nil"/>
            </w:tcBorders>
          </w:tcPr>
          <w:p w14:paraId="1FAF0A48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7BAFCD5E" w14:textId="77777777" w:rsidTr="00CF29C5">
        <w:trPr>
          <w:trHeight w:val="300"/>
        </w:trPr>
        <w:tc>
          <w:tcPr>
            <w:tcW w:w="3214" w:type="dxa"/>
            <w:gridSpan w:val="2"/>
            <w:shd w:val="clear" w:color="auto" w:fill="A73023"/>
          </w:tcPr>
          <w:p w14:paraId="0070F700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84" w:type="dxa"/>
            <w:shd w:val="clear" w:color="auto" w:fill="A73023"/>
          </w:tcPr>
          <w:p w14:paraId="08C0773F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5277" w:type="dxa"/>
            <w:gridSpan w:val="3"/>
            <w:shd w:val="clear" w:color="auto" w:fill="A73023"/>
          </w:tcPr>
          <w:p w14:paraId="5AAB60DC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E62EFA" w:rsidRPr="00B074EB" w14:paraId="7609BF45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226697D2" w14:textId="46E87CEC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Appropriately addresses safety, primarily BSI for open fracture</w:t>
            </w:r>
          </w:p>
        </w:tc>
        <w:tc>
          <w:tcPr>
            <w:tcW w:w="1084" w:type="dxa"/>
          </w:tcPr>
          <w:p w14:paraId="54DB12C1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736B4A2E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7D17A40F" w14:textId="77777777" w:rsidTr="00CF29C5">
        <w:trPr>
          <w:trHeight w:val="692"/>
        </w:trPr>
        <w:tc>
          <w:tcPr>
            <w:tcW w:w="3214" w:type="dxa"/>
            <w:gridSpan w:val="2"/>
            <w:shd w:val="clear" w:color="auto" w:fill="EDD2C4"/>
          </w:tcPr>
          <w:p w14:paraId="6EFB9DF1" w14:textId="3E32F535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Immediately manually stabilizes injury</w:t>
            </w:r>
          </w:p>
        </w:tc>
        <w:tc>
          <w:tcPr>
            <w:tcW w:w="1084" w:type="dxa"/>
          </w:tcPr>
          <w:p w14:paraId="45E72BB3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50844353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2F2DD816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0EFDDCA5" w14:textId="402A3DBF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Appropriately recognizes dyspnea as most life-threatening condition and manages dyspnea</w:t>
            </w:r>
          </w:p>
        </w:tc>
        <w:tc>
          <w:tcPr>
            <w:tcW w:w="1084" w:type="dxa"/>
          </w:tcPr>
          <w:p w14:paraId="3C066FE5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5DFF88BE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2600E209" w14:textId="77777777" w:rsidTr="00CF29C5">
        <w:trPr>
          <w:trHeight w:val="70"/>
        </w:trPr>
        <w:tc>
          <w:tcPr>
            <w:tcW w:w="3214" w:type="dxa"/>
            <w:gridSpan w:val="2"/>
            <w:shd w:val="clear" w:color="auto" w:fill="EDD2C4"/>
          </w:tcPr>
          <w:p w14:paraId="0CC78F86" w14:textId="27B033A5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Gathers necessary, relevant, and useful history: “Did you hit your head?” “Any other problems?” “Medical conditions?” “Rate dyspnea”</w:t>
            </w:r>
          </w:p>
        </w:tc>
        <w:tc>
          <w:tcPr>
            <w:tcW w:w="1084" w:type="dxa"/>
          </w:tcPr>
          <w:p w14:paraId="5ED9BEC0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6277B8FE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06D2D692" w14:textId="77777777" w:rsidTr="00CF29C5">
        <w:trPr>
          <w:trHeight w:val="512"/>
        </w:trPr>
        <w:tc>
          <w:tcPr>
            <w:tcW w:w="3214" w:type="dxa"/>
            <w:gridSpan w:val="2"/>
            <w:shd w:val="clear" w:color="auto" w:fill="EDD2C4"/>
          </w:tcPr>
          <w:p w14:paraId="0AEC2D1E" w14:textId="71937F23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Appropriate management of asthma (for provider experience at this time)</w:t>
            </w:r>
          </w:p>
        </w:tc>
        <w:tc>
          <w:tcPr>
            <w:tcW w:w="1084" w:type="dxa"/>
          </w:tcPr>
          <w:p w14:paraId="218B9411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02BC248D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329FD1C9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617E4BFF" w14:textId="24E0ECBD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Appropriate plan based on patient presentation and provider management thus far</w:t>
            </w:r>
          </w:p>
        </w:tc>
        <w:tc>
          <w:tcPr>
            <w:tcW w:w="1084" w:type="dxa"/>
          </w:tcPr>
          <w:p w14:paraId="453665DF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52EEEA50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07C9683D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383FD3E0" w14:textId="5F2C6282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If time permits, manages fracture with appropriate splinting technique and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circulation, motor, and sensation (CMS)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before and after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for neurovascular status</w:t>
            </w:r>
          </w:p>
        </w:tc>
        <w:tc>
          <w:tcPr>
            <w:tcW w:w="1084" w:type="dxa"/>
          </w:tcPr>
          <w:p w14:paraId="03B019A3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7" w:type="dxa"/>
            <w:gridSpan w:val="3"/>
          </w:tcPr>
          <w:p w14:paraId="15D42CDA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7A406CF" w14:textId="77777777" w:rsidR="00E62EFA" w:rsidRPr="00CF29C5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0"/>
          <w:szCs w:val="20"/>
        </w:rPr>
      </w:pPr>
      <w:r w:rsidRPr="00CF29C5">
        <w:rPr>
          <w:rFonts w:ascii="Aptos" w:hAnsi="Aptos" w:eastAsia="Aptos" w:cs="Aptos"/>
          <w:color w:val="000000"/>
          <w:sz w:val="20"/>
          <w:szCs w:val="20"/>
        </w:rPr>
        <w:t xml:space="preserve">0 = not performed; 1 = inadequate; 2 = </w:t>
      </w:r>
      <w:r w:rsidRPr="00CF29C5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above.</w:t>
      </w:r>
    </w:p>
    <w:p w14:paraId="06EBCAEA" w14:textId="77777777" w:rsidR="00E62EFA" w:rsidRPr="00B074EB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Cs/>
          <w:color w:val="000000"/>
          <w:sz w:val="24"/>
          <w:szCs w:val="24"/>
        </w:rPr>
        <w:t>Other comments: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