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A09B" w14:textId="77777777" w:rsidR="002220F3" w:rsidRPr="004F67D8" w:rsidRDefault="002220F3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1E6CEC77" w14:textId="052F632E" w:rsidR="007B7FA1" w:rsidRPr="004F67D8" w:rsidRDefault="003E1BE2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Presimulation Activity</w:t>
      </w:r>
      <w:r>
        <w:rPr>
          <w:rFonts w:ascii="Aptos" w:hAnsi="Aptos" w:cs="Aptos" w:eastAsia="Aptos"/>
          <w:color w:val="000000"/>
        </w:rPr>
        <w:t xml:space="preserve"> </w:t>
      </w:r>
      <w:r w:rsidRPr="00FE490D">
        <w:rPr>
          <w:rFonts w:ascii="Aptos" w:hAnsi="Aptos" w:cs="Aptos" w:eastAsia="Aptos"/>
          <w:color w:val="000000"/>
        </w:rPr>
        <w:t>2</w:t>
      </w:r>
      <w:r>
        <w:rPr>
          <w:rFonts w:ascii="Aptos" w:hAnsi="Aptos" w:cs="Aptos" w:eastAsia="Aptos"/>
          <w:color w:val="000000"/>
        </w:rPr>
        <w:t>: Phases of Gait</w:t>
      </w:r>
    </w:p>
    <w:p w14:paraId="53B85C4F" w14:textId="2AE53559" w:rsidR="007B7FA1" w:rsidRPr="004F67D8" w:rsidRDefault="007B7FA1" w:rsidP="009B38B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The running gait includes the double</w:t>
      </w:r>
      <w:r w:rsidRPr="00FE490D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 xml:space="preserve">float phase. Running gait also requires </w:t>
      </w:r>
      <w:r w:rsidR="00042CF8">
        <w:rPr>
          <w:rFonts w:ascii="Aptos" w:hAnsi="Aptos" w:cs="Aptos" w:eastAsia="Aptos"/>
          <w:color w:val="000000"/>
        </w:rPr>
        <w:t xml:space="preserve">a </w:t>
      </w:r>
      <w:r>
        <w:rPr>
          <w:rFonts w:ascii="Aptos" w:hAnsi="Aptos" w:cs="Aptos" w:eastAsia="Aptos"/>
          <w:color w:val="000000"/>
        </w:rPr>
        <w:t xml:space="preserve">greater range of motion in the </w:t>
      </w:r>
      <w:r w:rsidR="0093512B">
        <w:rPr>
          <w:rFonts w:ascii="Aptos" w:hAnsi="Aptos" w:cs="Aptos" w:eastAsia="Aptos"/>
          <w:color w:val="000000"/>
        </w:rPr>
        <w:t xml:space="preserve">great toe, </w:t>
      </w:r>
      <w:r>
        <w:rPr>
          <w:rFonts w:ascii="Aptos" w:hAnsi="Aptos" w:cs="Aptos" w:eastAsia="Aptos"/>
          <w:color w:val="000000"/>
        </w:rPr>
        <w:t>foot, ankle, knee, and hip.</w:t>
      </w:r>
    </w:p>
    <w:p w14:paraId="62BA1CB0" w14:textId="05FC93C3" w:rsidR="007B7FA1" w:rsidRPr="004F67D8" w:rsidRDefault="003E1BE2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Presimulation Activity</w:t>
      </w:r>
      <w:r>
        <w:rPr>
          <w:rFonts w:ascii="Aptos" w:hAnsi="Aptos" w:cs="Aptos" w:eastAsia="Aptos"/>
          <w:color w:val="000000"/>
        </w:rPr>
        <w:t xml:space="preserve"> </w:t>
      </w:r>
      <w:r w:rsidRPr="00FE490D">
        <w:rPr>
          <w:rFonts w:ascii="Aptos" w:hAnsi="Aptos" w:cs="Aptos" w:eastAsia="Aptos"/>
          <w:color w:val="000000"/>
        </w:rPr>
        <w:t>3</w:t>
      </w:r>
      <w:r>
        <w:rPr>
          <w:rFonts w:ascii="Aptos" w:hAnsi="Aptos" w:cs="Aptos" w:eastAsia="Aptos"/>
          <w:color w:val="000000"/>
        </w:rPr>
        <w:t>: Functional Analysis</w:t>
      </w:r>
    </w:p>
    <w:p w14:paraId="18EB6B8C" w14:textId="77777777" w:rsidR="007B7FA1" w:rsidRPr="004F67D8" w:rsidRDefault="007B7FA1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Students should turn in a completed functional analysis sheet that they conducted on their peer.</w:t>
      </w:r>
    </w:p>
    <w:p w14:paraId="1A89AB02" w14:textId="45BD4E38" w:rsidR="007B7FA1" w:rsidRPr="004F67D8" w:rsidRDefault="003E1BE2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Presimulation Activity</w:t>
      </w:r>
      <w:r>
        <w:rPr>
          <w:rFonts w:ascii="Aptos" w:hAnsi="Aptos" w:cs="Aptos" w:eastAsia="Aptos"/>
          <w:color w:val="000000"/>
        </w:rPr>
        <w:t xml:space="preserve"> </w:t>
      </w:r>
      <w:r w:rsidRPr="00FE490D">
        <w:rPr>
          <w:rFonts w:ascii="Aptos" w:hAnsi="Aptos" w:cs="Aptos" w:eastAsia="Aptos"/>
          <w:color w:val="000000"/>
        </w:rPr>
        <w:t>4</w:t>
      </w:r>
      <w:r>
        <w:rPr>
          <w:rFonts w:ascii="Aptos" w:hAnsi="Aptos" w:cs="Aptos" w:eastAsia="Aptos"/>
          <w:color w:val="000000"/>
        </w:rPr>
        <w:t>: Peer Recorded Gait Analysis</w:t>
      </w:r>
    </w:p>
    <w:p w14:paraId="2E723AB4" w14:textId="77777777" w:rsidR="007B7FA1" w:rsidRPr="004F67D8" w:rsidRDefault="007B7FA1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Students should submit a completed grid analyzing their peer’s gait. The grid should identify the position of the body segment (flexion, extension, or neutral) in each gait phase.</w:t>
      </w:r>
    </w:p>
    <w:p w14:paraId="6F42D019" w14:textId="0A6EA4E5" w:rsidR="007B7FA1" w:rsidRPr="004F67D8" w:rsidRDefault="003E1BE2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lastRenderedPageBreak/>
        <w:t>Presimulation Activity</w:t>
      </w:r>
      <w:r>
        <w:rPr>
          <w:rFonts w:ascii="Aptos" w:hAnsi="Aptos" w:cs="Aptos" w:eastAsia="Aptos"/>
          <w:color w:val="000000"/>
        </w:rPr>
        <w:t xml:space="preserve"> </w:t>
      </w:r>
      <w:r w:rsidRPr="00FE490D">
        <w:rPr>
          <w:rFonts w:ascii="Aptos" w:hAnsi="Aptos" w:cs="Aptos" w:eastAsia="Aptos"/>
          <w:color w:val="000000"/>
        </w:rPr>
        <w:t>5</w:t>
      </w:r>
      <w:r>
        <w:rPr>
          <w:rFonts w:ascii="Aptos" w:hAnsi="Aptos" w:cs="Aptos" w:eastAsia="Aptos"/>
          <w:color w:val="000000"/>
        </w:rPr>
        <w:t>: Standardized Patient Gait Analysis</w:t>
      </w:r>
    </w:p>
    <w:p w14:paraId="71363E93" w14:textId="3D9205E4" w:rsidR="007B7FA1" w:rsidRPr="004F67D8" w:rsidRDefault="007B7FA1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 xml:space="preserve">Students should submit a completed grid analyzing </w:t>
      </w:r>
      <w:r w:rsidR="00042CF8">
        <w:rPr>
          <w:rFonts w:ascii="Aptos" w:hAnsi="Aptos" w:cs="Aptos" w:eastAsia="Aptos"/>
          <w:color w:val="000000"/>
        </w:rPr>
        <w:t>an SP</w:t>
      </w:r>
      <w:r w:rsidRPr="004F67D8">
        <w:rPr>
          <w:rFonts w:ascii="Aptos" w:hAnsi="Aptos" w:cs="Aptos" w:eastAsia="Aptos"/>
          <w:color w:val="000000"/>
        </w:rPr>
        <w:t xml:space="preserve">’s gait. The grid should identify the position of the body segment (flexion, extension, or neutral) in each gait phase. Students should also include a written summary </w:t>
      </w:r>
      <w:r w:rsidR="008A0CA5" w:rsidRPr="004F67D8">
        <w:rPr>
          <w:rFonts w:ascii="Aptos" w:hAnsi="Aptos" w:cs="Aptos" w:eastAsia="Aptos"/>
          <w:color w:val="000000"/>
        </w:rPr>
        <w:t>of the gait abnormalities present in this video and explain how they could put this patient at increased risk of injury</w:t>
      </w:r>
      <w:r w:rsidRPr="004F67D8">
        <w:rPr>
          <w:rFonts w:ascii="Aptos" w:hAnsi="Aptos" w:cs="Aptos" w:eastAsia="Aptos"/>
          <w:color w:val="000000"/>
        </w:rPr>
        <w:t>.</w:t>
      </w:r>
    </w:p>
    <w:p w14:paraId="490B7208" w14:textId="51B8A3E8" w:rsidR="007B7FA1" w:rsidRDefault="003E1BE2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Presimulation Activity</w:t>
      </w:r>
      <w:r>
        <w:rPr>
          <w:rFonts w:ascii="Aptos" w:hAnsi="Aptos" w:cs="Aptos" w:eastAsia="Aptos"/>
          <w:color w:val="000000"/>
        </w:rPr>
        <w:t xml:space="preserve"> </w:t>
      </w:r>
      <w:r w:rsidRPr="00FE490D">
        <w:rPr>
          <w:rFonts w:ascii="Aptos" w:hAnsi="Aptos" w:cs="Aptos" w:eastAsia="Aptos"/>
          <w:color w:val="000000"/>
        </w:rPr>
        <w:t>6</w:t>
      </w:r>
      <w:r>
        <w:rPr>
          <w:rFonts w:ascii="Aptos" w:hAnsi="Aptos" w:cs="Aptos" w:eastAsia="Aptos"/>
          <w:color w:val="000000"/>
        </w:rPr>
        <w:t>: Video Analysis</w:t>
      </w:r>
    </w:p>
    <w:tbl>
      <w:tblPr>
        <w:tblStyle w:val="TableGrid"/>
        <w:tblW w:w="5000" w:type="pct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730"/>
        <w:gridCol w:w="1335"/>
        <w:gridCol w:w="891"/>
        <w:gridCol w:w="1069"/>
        <w:gridCol w:w="1069"/>
        <w:gridCol w:w="1069"/>
        <w:gridCol w:w="980"/>
        <w:gridCol w:w="1069"/>
        <w:gridCol w:w="1264"/>
      </w:tblGrid>
      <w:tr w:rsidR="00AD1F0D" w:rsidRPr="00C7323F" w14:paraId="6124E075" w14:textId="77777777" w:rsidTr="00670D40">
        <w:trPr>
          <w:trHeight w:val="432"/>
        </w:trPr>
        <w:tc>
          <w:tcPr>
            <w:tcW w:w="738" w:type="dxa"/>
            <w:vMerge w:val="restart"/>
            <w:tcBorders>
              <w:top w:val="nil"/>
              <w:left w:val="nil"/>
            </w:tcBorders>
          </w:tcPr>
          <w:p w14:paraId="079620F9" w14:textId="77777777" w:rsidR="00AD1F0D" w:rsidRPr="00B97278" w:rsidRDefault="00AD1F0D" w:rsidP="00F60FE8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5490" w:type="dxa"/>
            <w:gridSpan w:val="5"/>
            <w:shd w:val="clear" w:color="auto" w:fill="A73023"/>
          </w:tcPr>
          <w:p w14:paraId="257B97A5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B97278">
              <w:rPr>
                <w:rFonts w:ascii="Aptos" w:hAnsi="Aptos" w:eastAsia="Aptos" w:cs="Aptos"/>
                <w:b/>
                <w:bCs/>
                <w:color w:val="FFFFFF" w:themeColor="background1"/>
              </w:rPr>
              <w:t>STANCE</w:t>
            </w:r>
          </w:p>
        </w:tc>
        <w:tc>
          <w:tcPr>
            <w:tcW w:w="3348" w:type="dxa"/>
            <w:gridSpan w:val="3"/>
            <w:shd w:val="clear" w:color="auto" w:fill="A73023"/>
          </w:tcPr>
          <w:p w14:paraId="11756EB5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B97278">
              <w:rPr>
                <w:rFonts w:ascii="Aptos" w:hAnsi="Aptos" w:eastAsia="Aptos" w:cs="Aptos"/>
                <w:b/>
                <w:bCs/>
                <w:color w:val="FFFFFF" w:themeColor="background1"/>
              </w:rPr>
              <w:t>SWING</w:t>
            </w:r>
          </w:p>
        </w:tc>
      </w:tr>
      <w:tr w:rsidR="00AD1F0D" w:rsidRPr="00C7323F" w14:paraId="3FF29CF1" w14:textId="77777777" w:rsidTr="00670D40">
        <w:trPr>
          <w:trHeight w:val="432"/>
        </w:trPr>
        <w:tc>
          <w:tcPr>
            <w:tcW w:w="738" w:type="dxa"/>
            <w:vMerge/>
            <w:tcBorders>
              <w:left w:val="nil"/>
            </w:tcBorders>
          </w:tcPr>
          <w:p w14:paraId="5EC3C603" w14:textId="77777777" w:rsidR="00AD1F0D" w:rsidRPr="00C7323F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</w:rPr>
            </w:pPr>
          </w:p>
        </w:tc>
        <w:tc>
          <w:tcPr>
            <w:tcW w:w="1350" w:type="dxa"/>
            <w:shd w:val="clear" w:color="auto" w:fill="EDD2C4"/>
          </w:tcPr>
          <w:p w14:paraId="1790554E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Heel strike</w:t>
            </w:r>
          </w:p>
        </w:tc>
        <w:tc>
          <w:tcPr>
            <w:tcW w:w="900" w:type="dxa"/>
            <w:shd w:val="clear" w:color="auto" w:fill="EDD2C4"/>
          </w:tcPr>
          <w:p w14:paraId="1725609D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Foot flat</w:t>
            </w:r>
          </w:p>
        </w:tc>
        <w:tc>
          <w:tcPr>
            <w:tcW w:w="1080" w:type="dxa"/>
            <w:shd w:val="clear" w:color="auto" w:fill="EDD2C4"/>
          </w:tcPr>
          <w:p w14:paraId="0FF82142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Midstance</w:t>
            </w:r>
          </w:p>
        </w:tc>
        <w:tc>
          <w:tcPr>
            <w:tcW w:w="1080" w:type="dxa"/>
            <w:shd w:val="clear" w:color="auto" w:fill="EDD2C4"/>
          </w:tcPr>
          <w:p w14:paraId="3D20999F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Heel-off</w:t>
            </w:r>
          </w:p>
        </w:tc>
        <w:tc>
          <w:tcPr>
            <w:tcW w:w="1080" w:type="dxa"/>
            <w:shd w:val="clear" w:color="auto" w:fill="EDD2C4"/>
          </w:tcPr>
          <w:p w14:paraId="26B24EE4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Toe-off</w:t>
            </w:r>
          </w:p>
        </w:tc>
        <w:tc>
          <w:tcPr>
            <w:tcW w:w="990" w:type="dxa"/>
            <w:shd w:val="clear" w:color="auto" w:fill="EDD2C4"/>
          </w:tcPr>
          <w:p w14:paraId="21894A69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Early swing</w:t>
            </w:r>
          </w:p>
        </w:tc>
        <w:tc>
          <w:tcPr>
            <w:tcW w:w="1080" w:type="dxa"/>
            <w:shd w:val="clear" w:color="auto" w:fill="EDD2C4"/>
          </w:tcPr>
          <w:p w14:paraId="2AF85FDC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proofErr w:type="spellStart"/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Midswing</w:t>
            </w:r>
            <w:proofErr w:type="spellEnd"/>
          </w:p>
        </w:tc>
        <w:tc>
          <w:tcPr>
            <w:tcW w:w="1278" w:type="dxa"/>
            <w:shd w:val="clear" w:color="auto" w:fill="EDD2C4"/>
          </w:tcPr>
          <w:p w14:paraId="158239DD" w14:textId="77777777" w:rsidR="00AD1F0D" w:rsidRPr="00D04444" w:rsidRDefault="00AD1F0D" w:rsidP="00F60FE8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D04444">
              <w:rPr>
                <w:rFonts w:ascii="Aptos" w:hAnsi="Aptos" w:eastAsia="Aptos" w:cs="Aptos"/>
                <w:color w:val="000000"/>
                <w:sz w:val="20"/>
                <w:szCs w:val="20"/>
              </w:rPr>
              <w:t>Late swing</w:t>
            </w:r>
          </w:p>
        </w:tc>
      </w:tr>
      <w:tr w:rsidR="00AD1F0D" w:rsidRPr="00C7323F" w14:paraId="0C7AE3D7" w14:textId="77777777" w:rsidTr="00670D40">
        <w:trPr>
          <w:trHeight w:val="432"/>
        </w:trPr>
        <w:tc>
          <w:tcPr>
            <w:tcW w:w="738" w:type="dxa"/>
            <w:shd w:val="clear" w:color="auto" w:fill="EDD2C4"/>
          </w:tcPr>
          <w:p w14:paraId="597B923B" w14:textId="77777777" w:rsidR="00AD1F0D" w:rsidRPr="00670D40" w:rsidRDefault="00AD1F0D" w:rsidP="00AD1F0D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Trunk</w:t>
            </w:r>
          </w:p>
        </w:tc>
        <w:tc>
          <w:tcPr>
            <w:tcW w:w="1350" w:type="dxa"/>
          </w:tcPr>
          <w:p w14:paraId="74A5C29D" w14:textId="330FDE5F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900" w:type="dxa"/>
          </w:tcPr>
          <w:p w14:paraId="1627F16E" w14:textId="3D8BA4EB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080" w:type="dxa"/>
          </w:tcPr>
          <w:p w14:paraId="1565CE1F" w14:textId="3142988C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080" w:type="dxa"/>
          </w:tcPr>
          <w:p w14:paraId="7DA147D6" w14:textId="62E31025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080" w:type="dxa"/>
          </w:tcPr>
          <w:p w14:paraId="2F4DCF02" w14:textId="3BEF3AC0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990" w:type="dxa"/>
          </w:tcPr>
          <w:p w14:paraId="570B59B7" w14:textId="63ADB363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080" w:type="dxa"/>
          </w:tcPr>
          <w:p w14:paraId="697DA116" w14:textId="19C7BC6D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278" w:type="dxa"/>
          </w:tcPr>
          <w:p w14:paraId="1399C081" w14:textId="1E9464D0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</w:tr>
      <w:tr w:rsidR="00AD1F0D" w:rsidRPr="00C7323F" w14:paraId="72ADA2E2" w14:textId="77777777" w:rsidTr="00670D40">
        <w:trPr>
          <w:trHeight w:val="432"/>
        </w:trPr>
        <w:tc>
          <w:tcPr>
            <w:tcW w:w="738" w:type="dxa"/>
            <w:shd w:val="clear" w:color="auto" w:fill="EDD2C4"/>
          </w:tcPr>
          <w:p w14:paraId="618373D0" w14:textId="77777777" w:rsidR="00AD1F0D" w:rsidRPr="00670D40" w:rsidRDefault="00AD1F0D" w:rsidP="00AD1F0D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Hip</w:t>
            </w:r>
          </w:p>
        </w:tc>
        <w:tc>
          <w:tcPr>
            <w:tcW w:w="1350" w:type="dxa"/>
          </w:tcPr>
          <w:p w14:paraId="0AFEE20F" w14:textId="3DEC306B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900" w:type="dxa"/>
          </w:tcPr>
          <w:p w14:paraId="6F3317B6" w14:textId="290A3CD5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1080" w:type="dxa"/>
          </w:tcPr>
          <w:p w14:paraId="16219F26" w14:textId="08CC878E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1080" w:type="dxa"/>
          </w:tcPr>
          <w:p w14:paraId="22E33C5D" w14:textId="297913B3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028F812C" w14:textId="24F58DF3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990" w:type="dxa"/>
          </w:tcPr>
          <w:p w14:paraId="565B301A" w14:textId="7B536789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1080" w:type="dxa"/>
          </w:tcPr>
          <w:p w14:paraId="03513B5B" w14:textId="49B7DED1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extension</w:t>
            </w:r>
          </w:p>
        </w:tc>
        <w:tc>
          <w:tcPr>
            <w:tcW w:w="1278" w:type="dxa"/>
          </w:tcPr>
          <w:p w14:paraId="5E5EB75F" w14:textId="2DEBCF12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</w:tr>
      <w:tr w:rsidR="00AD1F0D" w:rsidRPr="00C7323F" w14:paraId="6ECB7ABB" w14:textId="77777777" w:rsidTr="00670D40">
        <w:trPr>
          <w:trHeight w:val="432"/>
        </w:trPr>
        <w:tc>
          <w:tcPr>
            <w:tcW w:w="738" w:type="dxa"/>
            <w:shd w:val="clear" w:color="auto" w:fill="EDD2C4"/>
          </w:tcPr>
          <w:p w14:paraId="0A4EB41D" w14:textId="77777777" w:rsidR="00AD1F0D" w:rsidRPr="00670D40" w:rsidRDefault="00AD1F0D" w:rsidP="00AD1F0D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Knee</w:t>
            </w:r>
          </w:p>
        </w:tc>
        <w:tc>
          <w:tcPr>
            <w:tcW w:w="1350" w:type="dxa"/>
          </w:tcPr>
          <w:p w14:paraId="08606154" w14:textId="7649F6F9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900" w:type="dxa"/>
          </w:tcPr>
          <w:p w14:paraId="74828E1B" w14:textId="512F0FB3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1080" w:type="dxa"/>
          </w:tcPr>
          <w:p w14:paraId="4F92A3A9" w14:textId="157A2D22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1080" w:type="dxa"/>
          </w:tcPr>
          <w:p w14:paraId="479D5BFE" w14:textId="0B22226F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080" w:type="dxa"/>
          </w:tcPr>
          <w:p w14:paraId="7ADEF1B1" w14:textId="378FAED4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990" w:type="dxa"/>
          </w:tcPr>
          <w:p w14:paraId="55EB0C02" w14:textId="1E32BED4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Slight flexion</w:t>
            </w:r>
          </w:p>
        </w:tc>
        <w:tc>
          <w:tcPr>
            <w:tcW w:w="1080" w:type="dxa"/>
          </w:tcPr>
          <w:p w14:paraId="35389A8B" w14:textId="1BCF8D41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  <w:tc>
          <w:tcPr>
            <w:tcW w:w="1278" w:type="dxa"/>
          </w:tcPr>
          <w:p w14:paraId="578D9CF6" w14:textId="046ABFF9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Flexion</w:t>
            </w:r>
          </w:p>
        </w:tc>
      </w:tr>
      <w:tr w:rsidR="00AD1F0D" w:rsidRPr="00C7323F" w14:paraId="2E40309A" w14:textId="77777777" w:rsidTr="00670D40">
        <w:trPr>
          <w:trHeight w:val="432"/>
        </w:trPr>
        <w:tc>
          <w:tcPr>
            <w:tcW w:w="738" w:type="dxa"/>
            <w:shd w:val="clear" w:color="auto" w:fill="EDD2C4"/>
          </w:tcPr>
          <w:p w14:paraId="0F305152" w14:textId="77777777" w:rsidR="00AD1F0D" w:rsidRPr="00670D40" w:rsidRDefault="00AD1F0D" w:rsidP="00AD1F0D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Ankle</w:t>
            </w:r>
          </w:p>
        </w:tc>
        <w:tc>
          <w:tcPr>
            <w:tcW w:w="1350" w:type="dxa"/>
          </w:tcPr>
          <w:p w14:paraId="4BAC7428" w14:textId="0E536044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Dorsiflexion</w:t>
            </w:r>
          </w:p>
        </w:tc>
        <w:tc>
          <w:tcPr>
            <w:tcW w:w="900" w:type="dxa"/>
          </w:tcPr>
          <w:p w14:paraId="31F0F34E" w14:textId="2FA0DC02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03B2C9D6" w14:textId="49250142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7CF5C9B1" w14:textId="2BAE1439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Plantar flexion</w:t>
            </w:r>
          </w:p>
        </w:tc>
        <w:tc>
          <w:tcPr>
            <w:tcW w:w="1080" w:type="dxa"/>
          </w:tcPr>
          <w:p w14:paraId="7C4778EB" w14:textId="504AA0FA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Plantar flexion</w:t>
            </w:r>
          </w:p>
        </w:tc>
        <w:tc>
          <w:tcPr>
            <w:tcW w:w="990" w:type="dxa"/>
          </w:tcPr>
          <w:p w14:paraId="5CF6C5AE" w14:textId="5A0E8198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020A9D39" w14:textId="798E77D6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278" w:type="dxa"/>
          </w:tcPr>
          <w:p w14:paraId="6C3E5498" w14:textId="699841DA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Dorsiflexion</w:t>
            </w:r>
          </w:p>
        </w:tc>
      </w:tr>
      <w:tr w:rsidR="00AD1F0D" w:rsidRPr="00C7323F" w14:paraId="1DA0D5BC" w14:textId="77777777" w:rsidTr="00670D40">
        <w:trPr>
          <w:trHeight w:val="432"/>
        </w:trPr>
        <w:tc>
          <w:tcPr>
            <w:tcW w:w="738" w:type="dxa"/>
            <w:shd w:val="clear" w:color="auto" w:fill="EDD2C4"/>
          </w:tcPr>
          <w:p w14:paraId="6F954535" w14:textId="77777777" w:rsidR="00AD1F0D" w:rsidRPr="00670D40" w:rsidRDefault="00AD1F0D" w:rsidP="00AD1F0D">
            <w:pPr>
              <w:pStyle w:val="NormalWeb"/>
              <w:spacing w:before="0" w:beforeAutospacing="0" w:after="0" w:afterAutospacing="0" w:line="480" w:lineRule="auto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Toes</w:t>
            </w:r>
          </w:p>
        </w:tc>
        <w:tc>
          <w:tcPr>
            <w:tcW w:w="1350" w:type="dxa"/>
          </w:tcPr>
          <w:p w14:paraId="4C8CE41C" w14:textId="112344CE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900" w:type="dxa"/>
          </w:tcPr>
          <w:p w14:paraId="5417E8B4" w14:textId="111348F0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344715C3" w14:textId="2BE1D836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261AA18C" w14:textId="12304BDD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1080" w:type="dxa"/>
          </w:tcPr>
          <w:p w14:paraId="66B44B2D" w14:textId="61DB1242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990" w:type="dxa"/>
          </w:tcPr>
          <w:p w14:paraId="2DB4FCF4" w14:textId="2C5857ED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080" w:type="dxa"/>
          </w:tcPr>
          <w:p w14:paraId="1358DCEF" w14:textId="5431F2CB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1278" w:type="dxa"/>
          </w:tcPr>
          <w:p w14:paraId="53206A74" w14:textId="1B3C2B77" w:rsidR="00AD1F0D" w:rsidRPr="00670D40" w:rsidRDefault="00AD1F0D" w:rsidP="00670D40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  <w:sz w:val="20"/>
                <w:szCs w:val="20"/>
              </w:rPr>
            </w:pPr>
            <w:r w:rsidRPr="00670D40">
              <w:rPr>
                <w:rFonts w:ascii="Aptos" w:hAnsi="Aptos" w:eastAsia="Aptos" w:cs="Aptos"/>
                <w:color w:val="000000"/>
                <w:sz w:val="20"/>
                <w:szCs w:val="20"/>
              </w:rPr>
              <w:t>Extension</w:t>
            </w:r>
          </w:p>
        </w:tc>
      </w:tr>
    </w:tbl>
    <w:p w14:paraId="3049D69B" w14:textId="6F96297E" w:rsidR="008A0CA5" w:rsidRPr="004F67D8" w:rsidRDefault="008A0CA5" w:rsidP="009B38B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This patient has </w:t>
      </w:r>
      <w:r w:rsidR="00E80FDD">
        <w:rPr>
          <w:rFonts w:ascii="Aptos" w:hAnsi="Aptos" w:cs="Aptos" w:eastAsia="Aptos"/>
          <w:color w:val="000000"/>
        </w:rPr>
        <w:t xml:space="preserve">a </w:t>
      </w:r>
      <w:r>
        <w:rPr>
          <w:rFonts w:ascii="Aptos" w:hAnsi="Aptos" w:cs="Aptos" w:eastAsia="Aptos"/>
          <w:color w:val="000000"/>
        </w:rPr>
        <w:t>normal range of motion through each phase of gait, but some abnormalities are noticed</w:t>
      </w:r>
      <w:r w:rsidR="00E80FDD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which may contribute to the risk of a </w:t>
      </w:r>
      <w:r w:rsidR="0031605A">
        <w:rPr>
          <w:rFonts w:ascii="Aptos" w:hAnsi="Aptos" w:cs="Aptos" w:eastAsia="Aptos"/>
          <w:color w:val="000000"/>
        </w:rPr>
        <w:t>navicular</w:t>
      </w:r>
      <w:r>
        <w:rPr>
          <w:rFonts w:ascii="Aptos" w:hAnsi="Aptos" w:cs="Aptos" w:eastAsia="Aptos"/>
          <w:color w:val="000000"/>
        </w:rPr>
        <w:t xml:space="preserve"> stress fracture. The patient moderately overstrides has a moderate toe</w:t>
      </w:r>
      <w:r w:rsidRPr="00FE490D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>out angle of progression during initial contact</w:t>
      </w:r>
      <w:r w:rsidR="00042CF8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which may lead to excess loading and ground reaction forces. In the frontal view during midstance, the patient demonstrates hypermobility with pronation collapse and a valgus knee</w:t>
      </w:r>
      <w:r w:rsidR="00042CF8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which may place additional stress on the </w:t>
      </w:r>
      <w:r w:rsidR="0031605A">
        <w:rPr>
          <w:rFonts w:ascii="Aptos" w:hAnsi="Aptos" w:cs="Aptos" w:eastAsia="Aptos"/>
          <w:color w:val="000000"/>
        </w:rPr>
        <w:t>navicular bone</w:t>
      </w:r>
      <w:r>
        <w:rPr>
          <w:rFonts w:ascii="Aptos" w:hAnsi="Aptos" w:cs="Aptos" w:eastAsia="Aptos"/>
          <w:color w:val="000000"/>
        </w:rPr>
        <w:t xml:space="preserve">. Lastly, the runner demonstrates a “heel whip” during the </w:t>
      </w:r>
      <w:r>
        <w:rPr>
          <w:rFonts w:ascii="Aptos" w:hAnsi="Aptos" w:cs="Aptos" w:eastAsia="Aptos"/>
          <w:color w:val="000000"/>
        </w:rPr>
        <w:lastRenderedPageBreak/>
        <w:t>toe</w:t>
      </w:r>
      <w:r w:rsidRPr="00FE490D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>off and early swing phases of gait</w:t>
      </w:r>
      <w:r w:rsidR="00042CF8">
        <w:rPr>
          <w:rFonts w:ascii="Aptos" w:hAnsi="Aptos" w:cs="Aptos" w:eastAsia="Aptos"/>
          <w:color w:val="000000"/>
        </w:rPr>
        <w:t>,</w:t>
      </w:r>
      <w:r>
        <w:rPr>
          <w:rFonts w:ascii="Aptos" w:hAnsi="Aptos" w:cs="Aptos" w:eastAsia="Aptos"/>
          <w:color w:val="000000"/>
        </w:rPr>
        <w:t xml:space="preserve"> indicating they toe</w:t>
      </w:r>
      <w:r w:rsidR="00962D4A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>of</w:t>
      </w:r>
      <w:r w:rsidR="00042CF8">
        <w:rPr>
          <w:rFonts w:ascii="Aptos" w:hAnsi="Aptos" w:cs="Aptos" w:eastAsia="Aptos"/>
          <w:color w:val="000000"/>
        </w:rPr>
        <w:t>f</w:t>
      </w:r>
      <w:r>
        <w:rPr>
          <w:rFonts w:ascii="Aptos" w:hAnsi="Aptos" w:cs="Aptos" w:eastAsia="Aptos"/>
          <w:color w:val="000000"/>
        </w:rPr>
        <w:t xml:space="preserve"> in the middle of the foot rather than through the great toe, which may put additional stress on the </w:t>
      </w:r>
      <w:r w:rsidR="0031605A">
        <w:rPr>
          <w:rFonts w:ascii="Aptos" w:hAnsi="Aptos" w:cs="Aptos" w:eastAsia="Aptos"/>
          <w:color w:val="000000"/>
        </w:rPr>
        <w:t>navicular</w:t>
      </w:r>
      <w:r>
        <w:rPr>
          <w:rFonts w:ascii="Aptos" w:hAnsi="Aptos" w:cs="Aptos" w:eastAsia="Aptos"/>
          <w:color w:val="000000"/>
        </w:rPr>
        <w:t>.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