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7C29" w14:textId="19F917D1" w:rsidR="009B2E95" w:rsidRPr="004F1CC6" w:rsidRDefault="009B2E95" w:rsidP="009B2E95">
      <w:pPr>
        <w:spacing w:line="480" w:lineRule="auto"/>
        <w:rPr>
          <w:rFonts w:ascii="Times New Roman" w:eastAsia="Times New Roman" w:hAnsi="Times New Roman" w:cs="Times New Roman"/>
          <w:b/>
          <w:bCs/>
          <w:color w:val="000000" w:themeColor="text1"/>
        </w:rPr>
      </w:pPr>
      <w:r w:rsidRPr="004F1CC6">
        <w:rPr>
          <w:rFonts w:ascii="Times New Roman" w:eastAsia="Times New Roman" w:hAnsi="Times New Roman" w:cs="Times New Roman"/>
          <w:b/>
          <w:bCs/>
          <w:color w:val="000000" w:themeColor="text1"/>
        </w:rPr>
        <w:t>\</w:t>
      </w:r>
      <w:proofErr w:type="spellStart"/>
      <w:r w:rsidRPr="004F1CC6">
        <w:rPr>
          <w:rFonts w:ascii="Times New Roman" w:eastAsia="Times New Roman" w:hAnsi="Times New Roman" w:cs="Times New Roman"/>
          <w:b/>
          <w:bCs/>
          <w:color w:val="000000" w:themeColor="text1"/>
        </w:rPr>
        <w:t>qqID</w:t>
      </w:r>
      <w:proofErr w:type="spellEnd"/>
      <w:r w:rsidRPr="004F1CC6">
        <w:rPr>
          <w:rFonts w:ascii="Times New Roman" w:eastAsia="Times New Roman" w:hAnsi="Times New Roman" w:cs="Times New Roman"/>
          <w:b/>
          <w:bCs/>
          <w:color w:val="000000" w:themeColor="text1"/>
        </w:rPr>
        <w:t xml:space="preserve">: Place in the left nav menu in the instructor guide (L1715) with no table number, just Debriefing Methods for the table title. It can be presented in Word format or HTML. It would go after all the simulation dropdowns and be one of three extra items: Simulation Checklist (Excel), Debriefing Methods (this table, Word?), Simulation Finder (Excel). These should be presented at the same “level,” or emphasis as the Introduction, except after the </w:t>
      </w:r>
      <w:proofErr w:type="spellStart"/>
      <w:r w:rsidRPr="004F1CC6">
        <w:rPr>
          <w:rFonts w:ascii="Times New Roman" w:eastAsia="Times New Roman" w:hAnsi="Times New Roman" w:cs="Times New Roman"/>
          <w:b/>
          <w:bCs/>
          <w:color w:val="000000" w:themeColor="text1"/>
        </w:rPr>
        <w:t>simulations.xqq</w:t>
      </w:r>
      <w:proofErr w:type="spellEnd"/>
      <w:r w:rsidRPr="004F1CC6">
        <w:rPr>
          <w:rFonts w:ascii="Times New Roman" w:eastAsia="Times New Roman" w:hAnsi="Times New Roman" w:cs="Times New Roman"/>
          <w:b/>
          <w:bCs/>
          <w:color w:val="000000" w:themeColor="text1"/>
        </w:rPr>
        <w:t>\</w:t>
      </w:r>
    </w:p>
    <w:p w14:paraId="1CAD9ADB" w14:textId="77777777" w:rsidR="009B2E95" w:rsidRPr="003C7958" w:rsidRDefault="009B2E95" w:rsidP="009B2E95">
      <w:pPr>
        <w:spacing w:line="480" w:lineRule="auto"/>
        <w:rPr>
          <w:rFonts w:ascii="Times New Roman" w:eastAsia="Times New Roman" w:hAnsi="Times New Roman" w:cs="Times New Roman"/>
          <w:color w:val="000000" w:themeColor="text1"/>
        </w:rPr>
      </w:pPr>
    </w:p>
    <w:p w14:paraId="1DCE42A3" w14:textId="0B3C203E" w:rsidR="009B2E95" w:rsidRPr="003C7958" w:rsidRDefault="009B2E95" w:rsidP="009B2E95">
      <w:pPr>
        <w:pStyle w:val="Heading2"/>
        <w:spacing w:before="0" w:after="0" w:line="240" w:lineRule="auto"/>
        <w:jc w:val="center"/>
        <w:rPr>
          <w:rFonts w:ascii="Times New Roman" w:hAnsi="Times New Roman" w:cs="Times New Roman"/>
          <w:b/>
          <w:bCs/>
          <w:color w:val="0A2F41" w:themeColor="accent1" w:themeShade="80"/>
          <w:lang w:eastAsia="en-US" w:bidi="ar-SA"/>
        </w:rPr>
      </w:pPr>
      <w:r w:rsidRPr="003C7958">
        <w:rPr>
          <w:rFonts w:ascii="Times New Roman" w:hAnsi="Times New Roman" w:cs="Times New Roman"/>
          <w:b/>
          <w:bCs/>
          <w:color w:val="0A2F41" w:themeColor="accent1" w:themeShade="80"/>
          <w:lang w:eastAsia="en-US" w:bidi="ar-SA"/>
        </w:rPr>
        <w:t>Debriefing Methods</w:t>
      </w:r>
    </w:p>
    <w:tbl>
      <w:tblPr>
        <w:tblStyle w:val="TableGrid"/>
        <w:tblW w:w="5000" w:type="pct"/>
        <w:tblLook w:val="04A0" w:firstRow="1" w:lastRow="0" w:firstColumn="1" w:lastColumn="0" w:noHBand="0" w:noVBand="1"/>
      </w:tblPr>
      <w:tblGrid>
        <w:gridCol w:w="1793"/>
        <w:gridCol w:w="2519"/>
        <w:gridCol w:w="2519"/>
        <w:gridCol w:w="2519"/>
      </w:tblGrid>
      <w:tr w:rsidR="009B2E95" w:rsidRPr="003C7958" w14:paraId="1C56304B" w14:textId="77777777" w:rsidTr="00ED31EA">
        <w:trPr>
          <w:trHeight w:val="300"/>
        </w:trPr>
        <w:tc>
          <w:tcPr>
            <w:tcW w:w="1793" w:type="dxa"/>
            <w:shd w:val="clear" w:color="auto" w:fill="A73023"/>
          </w:tcPr>
          <w:p w14:paraId="0CDF2615" w14:textId="60D66897" w:rsidR="009B2E95" w:rsidRPr="003C7958" w:rsidRDefault="009B2E95" w:rsidP="009B2E95">
            <w:pPr>
              <w:jc w:val="center"/>
              <w:rPr>
                <w:rFonts w:ascii="Times New Roman" w:hAnsi="Times New Roman" w:cs="Times New Roman"/>
                <w:b/>
                <w:bCs/>
                <w:color w:val="FFFFFF" w:themeColor="background1"/>
              </w:rPr>
            </w:pPr>
            <w:r w:rsidRPr="003C7958">
              <w:rPr>
                <w:rFonts w:ascii="Times New Roman" w:hAnsi="Times New Roman" w:cs="Times New Roman"/>
                <w:b/>
                <w:bCs/>
                <w:color w:val="FFFFFF" w:themeColor="background1"/>
              </w:rPr>
              <w:t>NAME</w:t>
            </w:r>
          </w:p>
        </w:tc>
        <w:tc>
          <w:tcPr>
            <w:tcW w:w="2519" w:type="dxa"/>
            <w:shd w:val="clear" w:color="auto" w:fill="A73023"/>
          </w:tcPr>
          <w:p w14:paraId="67C4B650" w14:textId="2723CE61" w:rsidR="009B2E95" w:rsidRPr="003C7958" w:rsidRDefault="009B2E95" w:rsidP="009B2E95">
            <w:pPr>
              <w:jc w:val="center"/>
              <w:rPr>
                <w:rFonts w:ascii="Times New Roman" w:hAnsi="Times New Roman" w:cs="Times New Roman"/>
                <w:b/>
                <w:bCs/>
                <w:color w:val="FFFFFF" w:themeColor="background1"/>
              </w:rPr>
            </w:pPr>
            <w:r w:rsidRPr="003C7958">
              <w:rPr>
                <w:rFonts w:ascii="Times New Roman" w:hAnsi="Times New Roman" w:cs="Times New Roman"/>
                <w:b/>
                <w:bCs/>
                <w:color w:val="FFFFFF" w:themeColor="background1"/>
              </w:rPr>
              <w:t>METHOD</w:t>
            </w:r>
          </w:p>
        </w:tc>
        <w:tc>
          <w:tcPr>
            <w:tcW w:w="2519" w:type="dxa"/>
            <w:shd w:val="clear" w:color="auto" w:fill="A73023"/>
          </w:tcPr>
          <w:p w14:paraId="00930E3B" w14:textId="5F46B8B0" w:rsidR="009B2E95" w:rsidRPr="003C7958" w:rsidRDefault="009B2E95" w:rsidP="009B2E95">
            <w:pPr>
              <w:jc w:val="center"/>
              <w:rPr>
                <w:rFonts w:ascii="Times New Roman" w:hAnsi="Times New Roman" w:cs="Times New Roman"/>
                <w:b/>
                <w:bCs/>
                <w:color w:val="FFFFFF" w:themeColor="background1"/>
              </w:rPr>
            </w:pPr>
            <w:r w:rsidRPr="003C7958">
              <w:rPr>
                <w:rFonts w:ascii="Times New Roman" w:hAnsi="Times New Roman" w:cs="Times New Roman"/>
                <w:b/>
                <w:bCs/>
                <w:color w:val="FFFFFF" w:themeColor="background1"/>
              </w:rPr>
              <w:t>PURPOSE</w:t>
            </w:r>
          </w:p>
        </w:tc>
        <w:tc>
          <w:tcPr>
            <w:tcW w:w="2519" w:type="dxa"/>
            <w:shd w:val="clear" w:color="auto" w:fill="A73023"/>
          </w:tcPr>
          <w:p w14:paraId="2495A7E1" w14:textId="1A7D8B98" w:rsidR="009B2E95" w:rsidRPr="003C7958" w:rsidRDefault="009B2E95" w:rsidP="009B2E95">
            <w:pPr>
              <w:jc w:val="center"/>
              <w:rPr>
                <w:rFonts w:ascii="Times New Roman" w:hAnsi="Times New Roman" w:cs="Times New Roman"/>
                <w:b/>
                <w:bCs/>
                <w:color w:val="FFFFFF" w:themeColor="background1"/>
              </w:rPr>
            </w:pPr>
            <w:r w:rsidRPr="003C7958">
              <w:rPr>
                <w:rFonts w:ascii="Times New Roman" w:hAnsi="Times New Roman" w:cs="Times New Roman"/>
                <w:b/>
                <w:bCs/>
                <w:color w:val="FFFFFF" w:themeColor="background1"/>
              </w:rPr>
              <w:t>EXAMPLE SIMULATION</w:t>
            </w:r>
          </w:p>
        </w:tc>
      </w:tr>
      <w:tr w:rsidR="009B2E95" w:rsidRPr="003C7958" w14:paraId="46350081" w14:textId="77777777" w:rsidTr="00ED31EA">
        <w:trPr>
          <w:trHeight w:val="300"/>
        </w:trPr>
        <w:tc>
          <w:tcPr>
            <w:tcW w:w="1793" w:type="dxa"/>
          </w:tcPr>
          <w:p w14:paraId="31876C26" w14:textId="719A2C65" w:rsidR="009B2E95" w:rsidRPr="003C7958" w:rsidRDefault="009B2E95" w:rsidP="009B2E95">
            <w:pPr>
              <w:rPr>
                <w:rFonts w:ascii="Times New Roman" w:eastAsia="Times New Roman" w:hAnsi="Times New Roman" w:cs="Times New Roman"/>
                <w:vertAlign w:val="superscript"/>
              </w:rPr>
            </w:pPr>
            <w:r w:rsidRPr="003C7958">
              <w:rPr>
                <w:rFonts w:ascii="Times New Roman" w:eastAsia="Times New Roman" w:hAnsi="Times New Roman" w:cs="Times New Roman"/>
              </w:rPr>
              <w:t>Diamond</w:t>
            </w:r>
            <w:r w:rsidRPr="003C7958">
              <w:rPr>
                <w:rFonts w:ascii="Times New Roman" w:eastAsia="Times New Roman" w:hAnsi="Times New Roman" w:cs="Times New Roman"/>
                <w:vertAlign w:val="superscript"/>
              </w:rPr>
              <w:t>1</w:t>
            </w:r>
          </w:p>
        </w:tc>
        <w:tc>
          <w:tcPr>
            <w:tcW w:w="2519" w:type="dxa"/>
          </w:tcPr>
          <w:p w14:paraId="334CC728" w14:textId="6C518434"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Use a structural visual reminder (Diamond) to guide debrief. The top of the diamond is Describe, the middle is Analysis, and the bottom is Application.</w:t>
            </w:r>
          </w:p>
        </w:tc>
        <w:tc>
          <w:tcPr>
            <w:tcW w:w="2519" w:type="dxa"/>
          </w:tcPr>
          <w:p w14:paraId="23812775" w14:textId="0E49AD5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There are specific questions and prompts that keep the discussion focused on the experience more than technical aspects.</w:t>
            </w:r>
          </w:p>
        </w:tc>
        <w:tc>
          <w:tcPr>
            <w:tcW w:w="2519" w:type="dxa"/>
          </w:tcPr>
          <w:p w14:paraId="2CD36E23"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Exertional Heat Stroke (Simulation 23)</w:t>
            </w:r>
          </w:p>
        </w:tc>
      </w:tr>
      <w:tr w:rsidR="009B2E95" w:rsidRPr="003C7958" w14:paraId="2D178D22" w14:textId="77777777" w:rsidTr="00ED31EA">
        <w:trPr>
          <w:trHeight w:val="300"/>
        </w:trPr>
        <w:tc>
          <w:tcPr>
            <w:tcW w:w="1793" w:type="dxa"/>
          </w:tcPr>
          <w:p w14:paraId="7A613781" w14:textId="42A61D3F"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Gather, analyze, summarize (GAS)</w:t>
            </w:r>
            <w:r w:rsidRPr="003C7958">
              <w:rPr>
                <w:rFonts w:ascii="Times New Roman" w:eastAsia="Times New Roman" w:hAnsi="Times New Roman" w:cs="Times New Roman"/>
                <w:vertAlign w:val="superscript"/>
              </w:rPr>
              <w:t>2</w:t>
            </w:r>
          </w:p>
        </w:tc>
        <w:tc>
          <w:tcPr>
            <w:tcW w:w="2519" w:type="dxa"/>
          </w:tcPr>
          <w:p w14:paraId="7E9B41E7"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Involves three phases where a facilitator asks prompting questions.</w:t>
            </w:r>
          </w:p>
        </w:tc>
        <w:tc>
          <w:tcPr>
            <w:tcW w:w="2519" w:type="dxa"/>
          </w:tcPr>
          <w:p w14:paraId="253C2671"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This debriefing method is designed to outline what happened in the simulation, self-assess, and plan for the future.</w:t>
            </w:r>
          </w:p>
        </w:tc>
        <w:tc>
          <w:tcPr>
            <w:tcW w:w="2519" w:type="dxa"/>
          </w:tcPr>
          <w:p w14:paraId="5CFE9143" w14:textId="2F6FBA79"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Foot Pain Telehealth (Simulation 25)</w:t>
            </w:r>
          </w:p>
        </w:tc>
      </w:tr>
      <w:tr w:rsidR="009B2E95" w:rsidRPr="003C7958" w14:paraId="6EC37188" w14:textId="77777777" w:rsidTr="00ED31EA">
        <w:trPr>
          <w:trHeight w:val="300"/>
        </w:trPr>
        <w:tc>
          <w:tcPr>
            <w:tcW w:w="1793" w:type="dxa"/>
          </w:tcPr>
          <w:p w14:paraId="7B8E2A5D" w14:textId="79BCCBC8" w:rsidR="009B2E95" w:rsidRPr="003C7958" w:rsidRDefault="009B2E95" w:rsidP="009B2E95">
            <w:pPr>
              <w:rPr>
                <w:rFonts w:ascii="Times New Roman" w:eastAsia="Times New Roman" w:hAnsi="Times New Roman" w:cs="Times New Roman"/>
                <w:vertAlign w:val="superscript"/>
              </w:rPr>
            </w:pPr>
            <w:r w:rsidRPr="003C7958">
              <w:rPr>
                <w:rFonts w:ascii="Times New Roman" w:eastAsia="Times New Roman" w:hAnsi="Times New Roman" w:cs="Times New Roman"/>
              </w:rPr>
              <w:t>Plus-Delta (+Delta)</w:t>
            </w:r>
            <w:r w:rsidRPr="003C7958">
              <w:rPr>
                <w:rFonts w:ascii="Times New Roman" w:eastAsia="Times New Roman" w:hAnsi="Times New Roman" w:cs="Times New Roman"/>
                <w:vertAlign w:val="superscript"/>
              </w:rPr>
              <w:t>3</w:t>
            </w:r>
          </w:p>
        </w:tc>
        <w:tc>
          <w:tcPr>
            <w:tcW w:w="2519" w:type="dxa"/>
          </w:tcPr>
          <w:p w14:paraId="17FC29E6"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What went well, what can be changed.</w:t>
            </w:r>
          </w:p>
        </w:tc>
        <w:tc>
          <w:tcPr>
            <w:tcW w:w="2519" w:type="dxa"/>
          </w:tcPr>
          <w:p w14:paraId="3FE016A0"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Allows students to pick focus of discussion and reframe their experience.</w:t>
            </w:r>
          </w:p>
        </w:tc>
        <w:tc>
          <w:tcPr>
            <w:tcW w:w="2519" w:type="dxa"/>
          </w:tcPr>
          <w:p w14:paraId="12D0C933"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Time-Out Ankle (Simulation 1)</w:t>
            </w:r>
          </w:p>
        </w:tc>
      </w:tr>
      <w:tr w:rsidR="009B2E95" w:rsidRPr="003C7958" w14:paraId="55AD2709" w14:textId="77777777" w:rsidTr="00ED31EA">
        <w:trPr>
          <w:trHeight w:val="300"/>
        </w:trPr>
        <w:tc>
          <w:tcPr>
            <w:tcW w:w="1793" w:type="dxa"/>
          </w:tcPr>
          <w:p w14:paraId="5AE75D99" w14:textId="5AE2A5F3" w:rsidR="009B2E95" w:rsidRPr="003C7958" w:rsidRDefault="009B2E95" w:rsidP="009B2E95">
            <w:pPr>
              <w:rPr>
                <w:rFonts w:ascii="Times New Roman" w:eastAsia="Times New Roman" w:hAnsi="Times New Roman" w:cs="Times New Roman"/>
                <w:vertAlign w:val="superscript"/>
              </w:rPr>
            </w:pPr>
            <w:r w:rsidRPr="003C7958">
              <w:rPr>
                <w:rFonts w:ascii="Times New Roman" w:eastAsia="Times New Roman" w:hAnsi="Times New Roman" w:cs="Times New Roman"/>
              </w:rPr>
              <w:t>Reflective practice in health care</w:t>
            </w:r>
            <w:r w:rsidRPr="003C7958">
              <w:rPr>
                <w:rFonts w:ascii="Times New Roman" w:eastAsia="Times New Roman" w:hAnsi="Times New Roman" w:cs="Times New Roman"/>
                <w:vertAlign w:val="superscript"/>
              </w:rPr>
              <w:t>4</w:t>
            </w:r>
          </w:p>
        </w:tc>
        <w:tc>
          <w:tcPr>
            <w:tcW w:w="2519" w:type="dxa"/>
          </w:tcPr>
          <w:p w14:paraId="78FEA5B3"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Students reflect on a series of questions.</w:t>
            </w:r>
          </w:p>
        </w:tc>
        <w:tc>
          <w:tcPr>
            <w:tcW w:w="2519" w:type="dxa"/>
          </w:tcPr>
          <w:p w14:paraId="5C27AC2D"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Allows students to self-assess and reflect on their performance as they look forward to future experiences.</w:t>
            </w:r>
          </w:p>
        </w:tc>
        <w:tc>
          <w:tcPr>
            <w:tcW w:w="2519" w:type="dxa"/>
          </w:tcPr>
          <w:p w14:paraId="790526C4"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Snowboard Accident (Simulation 19)</w:t>
            </w:r>
          </w:p>
        </w:tc>
      </w:tr>
      <w:tr w:rsidR="009B2E95" w:rsidRPr="003C7958" w14:paraId="0091A9C3" w14:textId="77777777" w:rsidTr="00ED31EA">
        <w:trPr>
          <w:trHeight w:val="300"/>
        </w:trPr>
        <w:tc>
          <w:tcPr>
            <w:tcW w:w="1793" w:type="dxa"/>
          </w:tcPr>
          <w:p w14:paraId="6EBF6B98" w14:textId="44054381" w:rsidR="009B2E95" w:rsidRPr="003C7958" w:rsidRDefault="009B2E95" w:rsidP="009B2E95">
            <w:pPr>
              <w:rPr>
                <w:rFonts w:ascii="Times New Roman" w:eastAsia="Times New Roman" w:hAnsi="Times New Roman" w:cs="Times New Roman"/>
                <w:vertAlign w:val="superscript"/>
              </w:rPr>
            </w:pPr>
            <w:r w:rsidRPr="003C7958">
              <w:rPr>
                <w:rFonts w:ascii="Times New Roman" w:eastAsia="Times New Roman" w:hAnsi="Times New Roman" w:cs="Times New Roman"/>
              </w:rPr>
              <w:t>PEARLS debriefing framework</w:t>
            </w:r>
            <w:r w:rsidRPr="003C7958">
              <w:rPr>
                <w:rFonts w:ascii="Times New Roman" w:eastAsia="Times New Roman" w:hAnsi="Times New Roman" w:cs="Times New Roman"/>
                <w:vertAlign w:val="superscript"/>
              </w:rPr>
              <w:t>5</w:t>
            </w:r>
          </w:p>
        </w:tc>
        <w:tc>
          <w:tcPr>
            <w:tcW w:w="2519" w:type="dxa"/>
          </w:tcPr>
          <w:p w14:paraId="408F9291"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Involves a five-phase, semi-structured approach to debriefing.</w:t>
            </w:r>
          </w:p>
        </w:tc>
        <w:tc>
          <w:tcPr>
            <w:tcW w:w="2519" w:type="dxa"/>
          </w:tcPr>
          <w:p w14:paraId="5EF69153"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This method allows instructors to set debriefing ground rules, gather students’ reactions, and then analyze the components of the simulation.</w:t>
            </w:r>
          </w:p>
        </w:tc>
        <w:tc>
          <w:tcPr>
            <w:tcW w:w="2519" w:type="dxa"/>
          </w:tcPr>
          <w:p w14:paraId="34321663"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Taping Ethics (Simulation 14)</w:t>
            </w:r>
          </w:p>
        </w:tc>
      </w:tr>
      <w:tr w:rsidR="009B2E95" w:rsidRPr="003C7958" w14:paraId="4EF124D2" w14:textId="77777777" w:rsidTr="00ED31EA">
        <w:trPr>
          <w:trHeight w:val="300"/>
        </w:trPr>
        <w:tc>
          <w:tcPr>
            <w:tcW w:w="1793" w:type="dxa"/>
          </w:tcPr>
          <w:p w14:paraId="6F2A507D" w14:textId="77777777" w:rsidR="009B2E95" w:rsidRPr="003C7958" w:rsidRDefault="009B2E95" w:rsidP="009B2E95">
            <w:pPr>
              <w:rPr>
                <w:rFonts w:ascii="Times New Roman" w:eastAsia="Times New Roman" w:hAnsi="Times New Roman" w:cs="Times New Roman"/>
                <w:vertAlign w:val="superscript"/>
              </w:rPr>
            </w:pPr>
            <w:r w:rsidRPr="003C7958">
              <w:rPr>
                <w:rFonts w:ascii="Times New Roman" w:eastAsia="Times New Roman" w:hAnsi="Times New Roman" w:cs="Times New Roman"/>
              </w:rPr>
              <w:t>Trauma-informed psychologically safe (</w:t>
            </w:r>
            <w:proofErr w:type="spellStart"/>
            <w:r w:rsidRPr="003C7958">
              <w:rPr>
                <w:rFonts w:ascii="Times New Roman" w:eastAsia="Times New Roman" w:hAnsi="Times New Roman" w:cs="Times New Roman"/>
              </w:rPr>
              <w:t>TiPS</w:t>
            </w:r>
            <w:proofErr w:type="spellEnd"/>
            <w:r w:rsidRPr="003C7958">
              <w:rPr>
                <w:rFonts w:ascii="Times New Roman" w:eastAsia="Times New Roman" w:hAnsi="Times New Roman" w:cs="Times New Roman"/>
              </w:rPr>
              <w:t>) debriefing framework</w:t>
            </w:r>
            <w:r w:rsidRPr="003C7958">
              <w:rPr>
                <w:rFonts w:ascii="Times New Roman" w:eastAsia="Times New Roman" w:hAnsi="Times New Roman" w:cs="Times New Roman"/>
                <w:vertAlign w:val="superscript"/>
              </w:rPr>
              <w:t>26</w:t>
            </w:r>
          </w:p>
        </w:tc>
        <w:tc>
          <w:tcPr>
            <w:tcW w:w="2519" w:type="dxa"/>
          </w:tcPr>
          <w:p w14:paraId="455EC385"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t xml:space="preserve">Involves a five-phase, semi-structured approach to supporting student’s emotional needs through </w:t>
            </w:r>
            <w:r w:rsidRPr="003C7958">
              <w:rPr>
                <w:rFonts w:ascii="Times New Roman" w:eastAsia="Times New Roman" w:hAnsi="Times New Roman" w:cs="Times New Roman"/>
              </w:rPr>
              <w:lastRenderedPageBreak/>
              <w:t>a debrief following traumatic simulations.</w:t>
            </w:r>
          </w:p>
        </w:tc>
        <w:tc>
          <w:tcPr>
            <w:tcW w:w="2519" w:type="dxa"/>
          </w:tcPr>
          <w:p w14:paraId="5F7FB149" w14:textId="77777777" w:rsidR="009B2E95" w:rsidRPr="003C7958" w:rsidRDefault="009B2E95" w:rsidP="009B2E95">
            <w:pPr>
              <w:rPr>
                <w:rFonts w:ascii="Times New Roman" w:eastAsia="Times New Roman" w:hAnsi="Times New Roman" w:cs="Times New Roman"/>
              </w:rPr>
            </w:pPr>
            <w:r w:rsidRPr="003C7958">
              <w:rPr>
                <w:rFonts w:ascii="Times New Roman" w:eastAsia="Times New Roman" w:hAnsi="Times New Roman" w:cs="Times New Roman"/>
              </w:rPr>
              <w:lastRenderedPageBreak/>
              <w:t>This debriefing method focuses on emotions and psychological stressors students experienced during a simulation.</w:t>
            </w:r>
          </w:p>
        </w:tc>
        <w:tc>
          <w:tcPr>
            <w:tcW w:w="2519" w:type="dxa"/>
          </w:tcPr>
          <w:p w14:paraId="40C133E8" w14:textId="77777777" w:rsidR="009B2E95" w:rsidRPr="003C7958" w:rsidRDefault="009B2E95" w:rsidP="009B2E95">
            <w:pPr>
              <w:rPr>
                <w:rFonts w:ascii="Times New Roman" w:eastAsia="Times New Roman" w:hAnsi="Times New Roman" w:cs="Times New Roman"/>
              </w:rPr>
            </w:pPr>
            <w:r w:rsidRPr="003C7958">
              <w:rPr>
                <w:rFonts w:ascii="Times New Roman" w:hAnsi="Times New Roman" w:cs="Times New Roman"/>
                <w:color w:val="000000"/>
              </w:rPr>
              <w:t>Emergency Action Plan (</w:t>
            </w:r>
            <w:r w:rsidRPr="003C7958">
              <w:rPr>
                <w:rFonts w:ascii="Times New Roman" w:eastAsia="Times New Roman" w:hAnsi="Times New Roman" w:cs="Times New Roman"/>
              </w:rPr>
              <w:t>EAP) (Simulation 3)</w:t>
            </w:r>
          </w:p>
        </w:tc>
      </w:tr>
    </w:tbl>
    <w:p w14:paraId="446B6788" w14:textId="77777777" w:rsidR="00AF5686" w:rsidRPr="003C7958" w:rsidRDefault="00AF5686" w:rsidP="004F1CC6">
      <w:pPr>
        <w:spacing w:line="480" w:lineRule="auto"/>
        <w:rPr>
          <w:rFonts w:ascii="Times New Roman" w:eastAsia="Times New Roman" w:hAnsi="Times New Roman" w:cs="Times New Roman"/>
          <w:color w:val="000000" w:themeColor="text1"/>
          <w:sz w:val="22"/>
          <w:szCs w:val="22"/>
        </w:rPr>
      </w:pPr>
    </w:p>
    <w:p w14:paraId="6A7391C0" w14:textId="77777777" w:rsidR="004F1CC6" w:rsidRPr="003C7958" w:rsidRDefault="004F1CC6" w:rsidP="004F1CC6">
      <w:pPr>
        <w:spacing w:line="480" w:lineRule="auto"/>
        <w:rPr>
          <w:rFonts w:ascii="Times New Roman" w:eastAsia="Times New Roman" w:hAnsi="Times New Roman" w:cs="Times New Roman"/>
          <w:color w:val="000000" w:themeColor="text1"/>
          <w:sz w:val="22"/>
          <w:szCs w:val="22"/>
        </w:rPr>
      </w:pPr>
      <w:r w:rsidRPr="003C7958">
        <w:rPr>
          <w:rFonts w:ascii="Times New Roman" w:eastAsia="Times New Roman" w:hAnsi="Times New Roman" w:cs="Times New Roman"/>
          <w:color w:val="000000" w:themeColor="text1"/>
          <w:sz w:val="22"/>
          <w:szCs w:val="22"/>
        </w:rPr>
        <w:t>&lt;a&gt;References</w:t>
      </w:r>
    </w:p>
    <w:p w14:paraId="37B234A0" w14:textId="18FB78BE" w:rsidR="004F1CC6" w:rsidRPr="003C7958" w:rsidRDefault="004F1CC6" w:rsidP="004F1CC6">
      <w:pPr>
        <w:spacing w:line="480" w:lineRule="auto"/>
        <w:rPr>
          <w:rFonts w:ascii="Times New Roman" w:eastAsia="Times New Roman" w:hAnsi="Times New Roman" w:cs="Times New Roman"/>
          <w:color w:val="000000" w:themeColor="text1"/>
          <w:sz w:val="22"/>
          <w:szCs w:val="22"/>
        </w:rPr>
      </w:pPr>
      <w:r w:rsidRPr="003C7958">
        <w:rPr>
          <w:rFonts w:ascii="Times New Roman" w:eastAsia="Times New Roman" w:hAnsi="Times New Roman" w:cs="Times New Roman"/>
          <w:sz w:val="22"/>
          <w:szCs w:val="22"/>
        </w:rPr>
        <w:t>1.</w:t>
      </w:r>
      <w:r w:rsidRPr="003C7958">
        <w:rPr>
          <w:rFonts w:ascii="Times New Roman" w:hAnsi="Times New Roman" w:cs="Times New Roman"/>
          <w:sz w:val="22"/>
          <w:szCs w:val="22"/>
        </w:rPr>
        <w:tab/>
      </w:r>
      <w:r w:rsidRPr="003C7958">
        <w:rPr>
          <w:rFonts w:ascii="Times New Roman" w:eastAsia="Times New Roman" w:hAnsi="Times New Roman" w:cs="Times New Roman"/>
          <w:color w:val="000000" w:themeColor="text1"/>
          <w:sz w:val="22"/>
          <w:szCs w:val="22"/>
        </w:rPr>
        <w:t xml:space="preserve">Jaye P, Thomas L, Reedy G. ‘The Diamond’: a structure for simulation debrief. </w:t>
      </w:r>
      <w:r w:rsidRPr="003C7958">
        <w:rPr>
          <w:rFonts w:ascii="Times New Roman" w:eastAsia="Times New Roman" w:hAnsi="Times New Roman" w:cs="Times New Roman"/>
          <w:i/>
          <w:iCs/>
          <w:sz w:val="22"/>
          <w:szCs w:val="22"/>
        </w:rPr>
        <w:t>Clin Teach</w:t>
      </w:r>
      <w:r w:rsidRPr="003C7958">
        <w:rPr>
          <w:rFonts w:ascii="Times New Roman" w:eastAsia="Times New Roman" w:hAnsi="Times New Roman" w:cs="Times New Roman"/>
          <w:iCs/>
          <w:sz w:val="22"/>
          <w:szCs w:val="22"/>
        </w:rPr>
        <w:t>.</w:t>
      </w:r>
      <w:r w:rsidRPr="003C7958">
        <w:rPr>
          <w:rFonts w:ascii="Times New Roman" w:eastAsia="Times New Roman" w:hAnsi="Times New Roman" w:cs="Times New Roman"/>
          <w:sz w:val="22"/>
          <w:szCs w:val="22"/>
        </w:rPr>
        <w:t xml:space="preserve"> 2015;12(3):171-175. doi:10.1111/tct.12300</w:t>
      </w:r>
    </w:p>
    <w:p w14:paraId="4A99A65B" w14:textId="0253D271" w:rsidR="004F1CC6" w:rsidRPr="003C7958" w:rsidRDefault="004F1CC6" w:rsidP="004F1CC6">
      <w:pPr>
        <w:spacing w:line="480" w:lineRule="auto"/>
        <w:rPr>
          <w:rFonts w:ascii="Times New Roman" w:eastAsia="Times New Roman" w:hAnsi="Times New Roman" w:cs="Times New Roman"/>
          <w:color w:val="000000" w:themeColor="text1"/>
          <w:sz w:val="22"/>
          <w:szCs w:val="22"/>
        </w:rPr>
      </w:pPr>
      <w:r w:rsidRPr="003C7958">
        <w:rPr>
          <w:rFonts w:ascii="Times New Roman" w:eastAsia="Times New Roman" w:hAnsi="Times New Roman" w:cs="Times New Roman"/>
          <w:color w:val="000000" w:themeColor="text1"/>
          <w:sz w:val="22"/>
          <w:szCs w:val="22"/>
        </w:rPr>
        <w:t xml:space="preserve">2. </w:t>
      </w:r>
      <w:r w:rsidRPr="003C7958">
        <w:rPr>
          <w:rFonts w:ascii="Times New Roman" w:hAnsi="Times New Roman" w:cs="Times New Roman"/>
          <w:sz w:val="22"/>
          <w:szCs w:val="22"/>
        </w:rPr>
        <w:tab/>
        <w:t>Sawyer T, Eppich W, Brett-</w:t>
      </w:r>
      <w:proofErr w:type="spellStart"/>
      <w:r w:rsidRPr="003C7958">
        <w:rPr>
          <w:rFonts w:ascii="Times New Roman" w:hAnsi="Times New Roman" w:cs="Times New Roman"/>
          <w:sz w:val="22"/>
          <w:szCs w:val="22"/>
        </w:rPr>
        <w:t>Fleegler</w:t>
      </w:r>
      <w:proofErr w:type="spellEnd"/>
      <w:r w:rsidRPr="003C7958">
        <w:rPr>
          <w:rFonts w:ascii="Times New Roman" w:hAnsi="Times New Roman" w:cs="Times New Roman"/>
          <w:sz w:val="22"/>
          <w:szCs w:val="22"/>
        </w:rPr>
        <w:t xml:space="preserve"> M, Grant V, Cheng A. More than one way to debrief: a critical review of healthcare simulation debriefing methods. </w:t>
      </w:r>
      <w:r w:rsidRPr="003C7958">
        <w:rPr>
          <w:rFonts w:ascii="Times New Roman" w:hAnsi="Times New Roman" w:cs="Times New Roman"/>
          <w:i/>
          <w:sz w:val="22"/>
          <w:szCs w:val="22"/>
        </w:rPr>
        <w:t>Simul Healthc</w:t>
      </w:r>
      <w:r w:rsidRPr="003C7958">
        <w:rPr>
          <w:rFonts w:ascii="Times New Roman" w:hAnsi="Times New Roman" w:cs="Times New Roman"/>
          <w:sz w:val="22"/>
          <w:szCs w:val="22"/>
        </w:rPr>
        <w:t>. 2016;11(3):209-217. doi:10.1097/sih.0000000000000148</w:t>
      </w:r>
    </w:p>
    <w:p w14:paraId="038FCECC" w14:textId="64BCDC1E" w:rsidR="004F1CC6" w:rsidRPr="003C7958" w:rsidRDefault="004F1CC6" w:rsidP="004F1CC6">
      <w:pPr>
        <w:spacing w:line="480" w:lineRule="auto"/>
        <w:rPr>
          <w:rFonts w:ascii="Times New Roman" w:eastAsia="Times New Roman" w:hAnsi="Times New Roman" w:cs="Times New Roman"/>
          <w:color w:val="000000" w:themeColor="text1"/>
          <w:sz w:val="22"/>
          <w:szCs w:val="22"/>
        </w:rPr>
      </w:pPr>
      <w:r w:rsidRPr="003C7958">
        <w:rPr>
          <w:rFonts w:ascii="Times New Roman" w:eastAsia="Times New Roman" w:hAnsi="Times New Roman" w:cs="Times New Roman"/>
          <w:color w:val="000000" w:themeColor="text1"/>
          <w:sz w:val="22"/>
          <w:szCs w:val="22"/>
        </w:rPr>
        <w:t>3.</w:t>
      </w:r>
      <w:r w:rsidRPr="003C7958">
        <w:rPr>
          <w:rFonts w:ascii="Times New Roman" w:hAnsi="Times New Roman" w:cs="Times New Roman"/>
          <w:sz w:val="22"/>
          <w:szCs w:val="22"/>
        </w:rPr>
        <w:tab/>
      </w:r>
      <w:r w:rsidRPr="003C7958">
        <w:rPr>
          <w:rFonts w:ascii="Times New Roman" w:eastAsia="Times New Roman" w:hAnsi="Times New Roman" w:cs="Times New Roman"/>
          <w:color w:val="000000" w:themeColor="text1"/>
          <w:sz w:val="22"/>
          <w:szCs w:val="22"/>
        </w:rPr>
        <w:t xml:space="preserve">Cheng A, </w:t>
      </w:r>
      <w:r w:rsidRPr="003C7958">
        <w:rPr>
          <w:rFonts w:ascii="Times New Roman" w:eastAsia="Times New Roman" w:hAnsi="Times New Roman" w:cs="Times New Roman"/>
          <w:sz w:val="22"/>
          <w:szCs w:val="22"/>
        </w:rPr>
        <w:t xml:space="preserve">Eppich W, Epps C, Kolbe M, </w:t>
      </w:r>
      <w:proofErr w:type="spellStart"/>
      <w:r w:rsidRPr="003C7958">
        <w:rPr>
          <w:rFonts w:ascii="Times New Roman" w:eastAsia="Times New Roman" w:hAnsi="Times New Roman" w:cs="Times New Roman"/>
          <w:sz w:val="22"/>
          <w:szCs w:val="22"/>
        </w:rPr>
        <w:t>Meguerdichian</w:t>
      </w:r>
      <w:proofErr w:type="spellEnd"/>
      <w:r w:rsidRPr="003C7958">
        <w:rPr>
          <w:rFonts w:ascii="Times New Roman" w:eastAsia="Times New Roman" w:hAnsi="Times New Roman" w:cs="Times New Roman"/>
          <w:sz w:val="22"/>
          <w:szCs w:val="22"/>
        </w:rPr>
        <w:t xml:space="preserve"> M, Grant V. Embracing informed learner self-assessment during debriefing: the art of plus-delta. </w:t>
      </w:r>
      <w:r w:rsidRPr="003C7958">
        <w:rPr>
          <w:rFonts w:ascii="Times New Roman" w:eastAsia="Times New Roman" w:hAnsi="Times New Roman" w:cs="Times New Roman"/>
          <w:i/>
          <w:iCs/>
          <w:sz w:val="22"/>
          <w:szCs w:val="22"/>
        </w:rPr>
        <w:t>Adv Simul</w:t>
      </w:r>
      <w:r w:rsidRPr="003C7958">
        <w:rPr>
          <w:rFonts w:ascii="Times New Roman" w:eastAsia="Times New Roman" w:hAnsi="Times New Roman" w:cs="Times New Roman"/>
          <w:sz w:val="22"/>
          <w:szCs w:val="22"/>
        </w:rPr>
        <w:t>. 2021;6:22. doi:</w:t>
      </w:r>
      <w:r w:rsidRPr="003C7958">
        <w:rPr>
          <w:rFonts w:ascii="Times New Roman" w:hAnsi="Times New Roman" w:cs="Times New Roman"/>
          <w:sz w:val="22"/>
          <w:szCs w:val="22"/>
        </w:rPr>
        <w:t>10.1186/s41077-021-00173-1</w:t>
      </w:r>
    </w:p>
    <w:p w14:paraId="3EFD2481" w14:textId="3C55450A" w:rsidR="004F1CC6" w:rsidRPr="003C7958" w:rsidRDefault="004F1CC6" w:rsidP="004F1CC6">
      <w:pPr>
        <w:spacing w:line="480" w:lineRule="auto"/>
        <w:rPr>
          <w:rFonts w:ascii="Times New Roman" w:eastAsia="Times New Roman" w:hAnsi="Times New Roman" w:cs="Times New Roman"/>
          <w:color w:val="000000" w:themeColor="text1"/>
          <w:sz w:val="22"/>
          <w:szCs w:val="22"/>
        </w:rPr>
      </w:pPr>
      <w:r w:rsidRPr="003C7958">
        <w:rPr>
          <w:rFonts w:ascii="Times New Roman" w:hAnsi="Times New Roman" w:cs="Times New Roman"/>
          <w:sz w:val="22"/>
          <w:szCs w:val="22"/>
        </w:rPr>
        <w:t>4.</w:t>
      </w:r>
      <w:r w:rsidRPr="003C7958">
        <w:rPr>
          <w:rFonts w:ascii="Times New Roman" w:hAnsi="Times New Roman" w:cs="Times New Roman"/>
          <w:sz w:val="22"/>
          <w:szCs w:val="22"/>
        </w:rPr>
        <w:tab/>
      </w:r>
      <w:r w:rsidRPr="003C7958">
        <w:rPr>
          <w:rFonts w:ascii="Times New Roman" w:hAnsi="Times New Roman" w:cs="Times New Roman"/>
          <w:color w:val="000000" w:themeColor="text1"/>
          <w:sz w:val="22"/>
          <w:szCs w:val="22"/>
        </w:rPr>
        <w:t xml:space="preserve">Koshy K, Limb C, Gundogan B, Whitehurst K, </w:t>
      </w:r>
      <w:proofErr w:type="spellStart"/>
      <w:r w:rsidRPr="003C7958">
        <w:rPr>
          <w:rFonts w:ascii="Times New Roman" w:hAnsi="Times New Roman" w:cs="Times New Roman"/>
          <w:color w:val="000000" w:themeColor="text1"/>
          <w:sz w:val="22"/>
          <w:szCs w:val="22"/>
        </w:rPr>
        <w:t>Jafree</w:t>
      </w:r>
      <w:proofErr w:type="spellEnd"/>
      <w:r w:rsidRPr="003C7958">
        <w:rPr>
          <w:rFonts w:ascii="Times New Roman" w:hAnsi="Times New Roman" w:cs="Times New Roman"/>
          <w:color w:val="000000" w:themeColor="text1"/>
          <w:sz w:val="22"/>
          <w:szCs w:val="22"/>
        </w:rPr>
        <w:t xml:space="preserve"> DJ. Reflective practice in health care and how to reflect effectively. </w:t>
      </w:r>
      <w:r w:rsidRPr="003C7958">
        <w:rPr>
          <w:rFonts w:ascii="Times New Roman" w:hAnsi="Times New Roman" w:cs="Times New Roman"/>
          <w:i/>
          <w:iCs/>
          <w:color w:val="000000" w:themeColor="text1"/>
          <w:sz w:val="22"/>
          <w:szCs w:val="22"/>
        </w:rPr>
        <w:t>Int J Surg Oncol</w:t>
      </w:r>
      <w:r w:rsidRPr="003C7958">
        <w:rPr>
          <w:rFonts w:ascii="Times New Roman" w:hAnsi="Times New Roman" w:cs="Times New Roman"/>
          <w:i/>
          <w:color w:val="000000" w:themeColor="text1"/>
          <w:sz w:val="22"/>
          <w:szCs w:val="22"/>
        </w:rPr>
        <w:t xml:space="preserve"> (N Y)</w:t>
      </w:r>
      <w:r w:rsidRPr="003C7958">
        <w:rPr>
          <w:rFonts w:ascii="Times New Roman" w:hAnsi="Times New Roman" w:cs="Times New Roman"/>
          <w:color w:val="000000" w:themeColor="text1"/>
          <w:sz w:val="22"/>
          <w:szCs w:val="22"/>
        </w:rPr>
        <w:t>. 2017;2(6):e20. doi:10.1097/IJ9.0000000000000020</w:t>
      </w:r>
    </w:p>
    <w:p w14:paraId="32B525B0" w14:textId="2E466ED2" w:rsidR="004F1CC6" w:rsidRPr="003C7958" w:rsidRDefault="004F1CC6" w:rsidP="004F1CC6">
      <w:pPr>
        <w:pStyle w:val="NormalWeb"/>
        <w:spacing w:before="0" w:beforeAutospacing="0" w:after="0" w:afterAutospacing="0" w:line="480" w:lineRule="auto"/>
        <w:rPr>
          <w:color w:val="000000" w:themeColor="text1"/>
          <w:sz w:val="22"/>
          <w:szCs w:val="22"/>
        </w:rPr>
      </w:pPr>
      <w:r w:rsidRPr="003C7958">
        <w:rPr>
          <w:sz w:val="22"/>
          <w:szCs w:val="22"/>
        </w:rPr>
        <w:t>5.</w:t>
      </w:r>
      <w:r w:rsidRPr="003C7958">
        <w:rPr>
          <w:sz w:val="22"/>
          <w:szCs w:val="22"/>
        </w:rPr>
        <w:tab/>
      </w:r>
      <w:r w:rsidRPr="003C7958">
        <w:rPr>
          <w:color w:val="000000" w:themeColor="text1"/>
          <w:sz w:val="22"/>
          <w:szCs w:val="22"/>
        </w:rPr>
        <w:t xml:space="preserve">Bajaj K, </w:t>
      </w:r>
      <w:proofErr w:type="spellStart"/>
      <w:r w:rsidRPr="003C7958">
        <w:rPr>
          <w:color w:val="000000" w:themeColor="text1"/>
          <w:sz w:val="22"/>
          <w:szCs w:val="22"/>
        </w:rPr>
        <w:t>Meguerdichian</w:t>
      </w:r>
      <w:proofErr w:type="spellEnd"/>
      <w:r w:rsidRPr="003C7958">
        <w:rPr>
          <w:color w:val="000000" w:themeColor="text1"/>
          <w:sz w:val="22"/>
          <w:szCs w:val="22"/>
        </w:rPr>
        <w:t xml:space="preserve"> M, </w:t>
      </w:r>
      <w:proofErr w:type="spellStart"/>
      <w:r w:rsidRPr="003C7958">
        <w:rPr>
          <w:color w:val="000000" w:themeColor="text1"/>
          <w:sz w:val="22"/>
          <w:szCs w:val="22"/>
        </w:rPr>
        <w:t>Thoma</w:t>
      </w:r>
      <w:proofErr w:type="spellEnd"/>
      <w:r w:rsidRPr="003C7958">
        <w:rPr>
          <w:color w:val="000000" w:themeColor="text1"/>
          <w:sz w:val="22"/>
          <w:szCs w:val="22"/>
        </w:rPr>
        <w:t xml:space="preserve"> B, Huang S, Eppich W, Cheng A. The PEARLS healthcare debriefing tool. </w:t>
      </w:r>
      <w:r w:rsidRPr="003C7958">
        <w:rPr>
          <w:i/>
          <w:iCs/>
          <w:color w:val="000000" w:themeColor="text1"/>
          <w:sz w:val="22"/>
          <w:szCs w:val="22"/>
        </w:rPr>
        <w:t>Acad Med</w:t>
      </w:r>
      <w:r w:rsidRPr="003C7958">
        <w:rPr>
          <w:color w:val="000000" w:themeColor="text1"/>
          <w:sz w:val="22"/>
          <w:szCs w:val="22"/>
        </w:rPr>
        <w:t>. 2018;93(2):336.</w:t>
      </w:r>
    </w:p>
    <w:sectPr w:rsidR="004F1CC6" w:rsidRPr="003C7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95"/>
    <w:rsid w:val="000F66F3"/>
    <w:rsid w:val="00124B74"/>
    <w:rsid w:val="00142B4D"/>
    <w:rsid w:val="00162389"/>
    <w:rsid w:val="00255790"/>
    <w:rsid w:val="0029341A"/>
    <w:rsid w:val="002E37C6"/>
    <w:rsid w:val="003C7958"/>
    <w:rsid w:val="003F7133"/>
    <w:rsid w:val="004F1CC6"/>
    <w:rsid w:val="00547B7D"/>
    <w:rsid w:val="005A50B6"/>
    <w:rsid w:val="005A7320"/>
    <w:rsid w:val="005D5F92"/>
    <w:rsid w:val="005D6676"/>
    <w:rsid w:val="00700A76"/>
    <w:rsid w:val="00944A5F"/>
    <w:rsid w:val="009B2E95"/>
    <w:rsid w:val="00A73747"/>
    <w:rsid w:val="00AF5686"/>
    <w:rsid w:val="00B91C7B"/>
    <w:rsid w:val="00C60B78"/>
    <w:rsid w:val="00CF1371"/>
    <w:rsid w:val="00D65F0C"/>
    <w:rsid w:val="00ED31E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55A7"/>
  <w15:chartTrackingRefBased/>
  <w15:docId w15:val="{D83F13AD-A0BA-4B04-90A6-01EE85AC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ug-C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95"/>
    <w:pPr>
      <w:spacing w:after="0" w:line="240" w:lineRule="auto"/>
    </w:pPr>
    <w:rPr>
      <w:rFonts w:eastAsiaTheme="minorHAnsi"/>
      <w:lang w:eastAsia="en-US" w:bidi="ar-SA"/>
    </w:rPr>
  </w:style>
  <w:style w:type="paragraph" w:styleId="Heading1">
    <w:name w:val="heading 1"/>
    <w:basedOn w:val="Normal"/>
    <w:next w:val="Normal"/>
    <w:link w:val="Heading1Char"/>
    <w:uiPriority w:val="9"/>
    <w:qFormat/>
    <w:rsid w:val="009B2E9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zh-CN" w:bidi="ug-CN"/>
    </w:rPr>
  </w:style>
  <w:style w:type="paragraph" w:styleId="Heading2">
    <w:name w:val="heading 2"/>
    <w:basedOn w:val="Normal"/>
    <w:next w:val="Normal"/>
    <w:link w:val="Heading2Char"/>
    <w:uiPriority w:val="9"/>
    <w:unhideWhenUsed/>
    <w:qFormat/>
    <w:rsid w:val="009B2E9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zh-CN" w:bidi="ug-CN"/>
    </w:rPr>
  </w:style>
  <w:style w:type="paragraph" w:styleId="Heading3">
    <w:name w:val="heading 3"/>
    <w:basedOn w:val="Normal"/>
    <w:next w:val="Normal"/>
    <w:link w:val="Heading3Char"/>
    <w:uiPriority w:val="9"/>
    <w:semiHidden/>
    <w:unhideWhenUsed/>
    <w:qFormat/>
    <w:rsid w:val="009B2E95"/>
    <w:pPr>
      <w:keepNext/>
      <w:keepLines/>
      <w:spacing w:before="160" w:after="80" w:line="278" w:lineRule="auto"/>
      <w:outlineLvl w:val="2"/>
    </w:pPr>
    <w:rPr>
      <w:rFonts w:eastAsiaTheme="majorEastAsia" w:cstheme="majorBidi"/>
      <w:color w:val="0F4761" w:themeColor="accent1" w:themeShade="BF"/>
      <w:sz w:val="28"/>
      <w:szCs w:val="28"/>
      <w:lang w:eastAsia="zh-CN" w:bidi="ug-CN"/>
    </w:rPr>
  </w:style>
  <w:style w:type="paragraph" w:styleId="Heading4">
    <w:name w:val="heading 4"/>
    <w:basedOn w:val="Normal"/>
    <w:next w:val="Normal"/>
    <w:link w:val="Heading4Char"/>
    <w:uiPriority w:val="9"/>
    <w:semiHidden/>
    <w:unhideWhenUsed/>
    <w:qFormat/>
    <w:rsid w:val="009B2E95"/>
    <w:pPr>
      <w:keepNext/>
      <w:keepLines/>
      <w:spacing w:before="80" w:after="40" w:line="278" w:lineRule="auto"/>
      <w:outlineLvl w:val="3"/>
    </w:pPr>
    <w:rPr>
      <w:rFonts w:eastAsiaTheme="majorEastAsia" w:cstheme="majorBidi"/>
      <w:i/>
      <w:iCs/>
      <w:color w:val="0F4761" w:themeColor="accent1" w:themeShade="BF"/>
      <w:lang w:eastAsia="zh-CN" w:bidi="ug-CN"/>
    </w:rPr>
  </w:style>
  <w:style w:type="paragraph" w:styleId="Heading5">
    <w:name w:val="heading 5"/>
    <w:basedOn w:val="Normal"/>
    <w:next w:val="Normal"/>
    <w:link w:val="Heading5Char"/>
    <w:uiPriority w:val="9"/>
    <w:semiHidden/>
    <w:unhideWhenUsed/>
    <w:qFormat/>
    <w:rsid w:val="009B2E95"/>
    <w:pPr>
      <w:keepNext/>
      <w:keepLines/>
      <w:spacing w:before="80" w:after="40" w:line="278" w:lineRule="auto"/>
      <w:outlineLvl w:val="4"/>
    </w:pPr>
    <w:rPr>
      <w:rFonts w:eastAsiaTheme="majorEastAsia" w:cstheme="majorBidi"/>
      <w:color w:val="0F4761" w:themeColor="accent1" w:themeShade="BF"/>
      <w:lang w:eastAsia="zh-CN" w:bidi="ug-CN"/>
    </w:rPr>
  </w:style>
  <w:style w:type="paragraph" w:styleId="Heading6">
    <w:name w:val="heading 6"/>
    <w:basedOn w:val="Normal"/>
    <w:next w:val="Normal"/>
    <w:link w:val="Heading6Char"/>
    <w:uiPriority w:val="9"/>
    <w:semiHidden/>
    <w:unhideWhenUsed/>
    <w:qFormat/>
    <w:rsid w:val="009B2E95"/>
    <w:pPr>
      <w:keepNext/>
      <w:keepLines/>
      <w:spacing w:before="40" w:line="278" w:lineRule="auto"/>
      <w:outlineLvl w:val="5"/>
    </w:pPr>
    <w:rPr>
      <w:rFonts w:eastAsiaTheme="majorEastAsia" w:cstheme="majorBidi"/>
      <w:i/>
      <w:iCs/>
      <w:color w:val="595959" w:themeColor="text1" w:themeTint="A6"/>
      <w:lang w:eastAsia="zh-CN" w:bidi="ug-CN"/>
    </w:rPr>
  </w:style>
  <w:style w:type="paragraph" w:styleId="Heading7">
    <w:name w:val="heading 7"/>
    <w:basedOn w:val="Normal"/>
    <w:next w:val="Normal"/>
    <w:link w:val="Heading7Char"/>
    <w:uiPriority w:val="9"/>
    <w:semiHidden/>
    <w:unhideWhenUsed/>
    <w:qFormat/>
    <w:rsid w:val="009B2E95"/>
    <w:pPr>
      <w:keepNext/>
      <w:keepLines/>
      <w:spacing w:before="40" w:line="278" w:lineRule="auto"/>
      <w:outlineLvl w:val="6"/>
    </w:pPr>
    <w:rPr>
      <w:rFonts w:eastAsiaTheme="majorEastAsia" w:cstheme="majorBidi"/>
      <w:color w:val="595959" w:themeColor="text1" w:themeTint="A6"/>
      <w:lang w:eastAsia="zh-CN" w:bidi="ug-CN"/>
    </w:rPr>
  </w:style>
  <w:style w:type="paragraph" w:styleId="Heading8">
    <w:name w:val="heading 8"/>
    <w:basedOn w:val="Normal"/>
    <w:next w:val="Normal"/>
    <w:link w:val="Heading8Char"/>
    <w:uiPriority w:val="9"/>
    <w:semiHidden/>
    <w:unhideWhenUsed/>
    <w:qFormat/>
    <w:rsid w:val="009B2E95"/>
    <w:pPr>
      <w:keepNext/>
      <w:keepLines/>
      <w:spacing w:line="278" w:lineRule="auto"/>
      <w:outlineLvl w:val="7"/>
    </w:pPr>
    <w:rPr>
      <w:rFonts w:eastAsiaTheme="majorEastAsia" w:cstheme="majorBidi"/>
      <w:i/>
      <w:iCs/>
      <w:color w:val="272727" w:themeColor="text1" w:themeTint="D8"/>
      <w:lang w:eastAsia="zh-CN" w:bidi="ug-CN"/>
    </w:rPr>
  </w:style>
  <w:style w:type="paragraph" w:styleId="Heading9">
    <w:name w:val="heading 9"/>
    <w:basedOn w:val="Normal"/>
    <w:next w:val="Normal"/>
    <w:link w:val="Heading9Char"/>
    <w:uiPriority w:val="9"/>
    <w:semiHidden/>
    <w:unhideWhenUsed/>
    <w:qFormat/>
    <w:rsid w:val="009B2E95"/>
    <w:pPr>
      <w:keepNext/>
      <w:keepLines/>
      <w:spacing w:line="278" w:lineRule="auto"/>
      <w:outlineLvl w:val="8"/>
    </w:pPr>
    <w:rPr>
      <w:rFonts w:eastAsiaTheme="majorEastAsia" w:cstheme="majorBidi"/>
      <w:color w:val="272727" w:themeColor="text1" w:themeTint="D8"/>
      <w:lang w:eastAsia="zh-CN" w:bidi="ug-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E95"/>
    <w:rPr>
      <w:rFonts w:eastAsiaTheme="majorEastAsia" w:cstheme="majorBidi"/>
      <w:color w:val="272727" w:themeColor="text1" w:themeTint="D8"/>
    </w:rPr>
  </w:style>
  <w:style w:type="paragraph" w:styleId="Title">
    <w:name w:val="Title"/>
    <w:basedOn w:val="Normal"/>
    <w:next w:val="Normal"/>
    <w:link w:val="TitleChar"/>
    <w:uiPriority w:val="10"/>
    <w:qFormat/>
    <w:rsid w:val="009B2E95"/>
    <w:pPr>
      <w:spacing w:after="80"/>
      <w:contextualSpacing/>
    </w:pPr>
    <w:rPr>
      <w:rFonts w:asciiTheme="majorHAnsi" w:eastAsiaTheme="majorEastAsia" w:hAnsiTheme="majorHAnsi" w:cstheme="majorBidi"/>
      <w:spacing w:val="-10"/>
      <w:kern w:val="28"/>
      <w:sz w:val="56"/>
      <w:szCs w:val="56"/>
      <w:lang w:eastAsia="zh-CN" w:bidi="ug-CN"/>
    </w:rPr>
  </w:style>
  <w:style w:type="character" w:customStyle="1" w:styleId="TitleChar">
    <w:name w:val="Title Char"/>
    <w:basedOn w:val="DefaultParagraphFont"/>
    <w:link w:val="Title"/>
    <w:uiPriority w:val="10"/>
    <w:rsid w:val="009B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E95"/>
    <w:pPr>
      <w:numPr>
        <w:ilvl w:val="1"/>
      </w:numPr>
      <w:spacing w:after="160" w:line="278" w:lineRule="auto"/>
    </w:pPr>
    <w:rPr>
      <w:rFonts w:eastAsiaTheme="majorEastAsia" w:cstheme="majorBidi"/>
      <w:color w:val="595959" w:themeColor="text1" w:themeTint="A6"/>
      <w:spacing w:val="15"/>
      <w:sz w:val="28"/>
      <w:szCs w:val="28"/>
      <w:lang w:eastAsia="zh-CN" w:bidi="ug-CN"/>
    </w:rPr>
  </w:style>
  <w:style w:type="character" w:customStyle="1" w:styleId="SubtitleChar">
    <w:name w:val="Subtitle Char"/>
    <w:basedOn w:val="DefaultParagraphFont"/>
    <w:link w:val="Subtitle"/>
    <w:uiPriority w:val="11"/>
    <w:rsid w:val="009B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E95"/>
    <w:pPr>
      <w:spacing w:before="160" w:after="160" w:line="278" w:lineRule="auto"/>
      <w:jc w:val="center"/>
    </w:pPr>
    <w:rPr>
      <w:rFonts w:eastAsiaTheme="minorEastAsia"/>
      <w:i/>
      <w:iCs/>
      <w:color w:val="404040" w:themeColor="text1" w:themeTint="BF"/>
      <w:lang w:eastAsia="zh-CN" w:bidi="ug-CN"/>
    </w:rPr>
  </w:style>
  <w:style w:type="character" w:customStyle="1" w:styleId="QuoteChar">
    <w:name w:val="Quote Char"/>
    <w:basedOn w:val="DefaultParagraphFont"/>
    <w:link w:val="Quote"/>
    <w:uiPriority w:val="29"/>
    <w:rsid w:val="009B2E95"/>
    <w:rPr>
      <w:i/>
      <w:iCs/>
      <w:color w:val="404040" w:themeColor="text1" w:themeTint="BF"/>
    </w:rPr>
  </w:style>
  <w:style w:type="paragraph" w:styleId="ListParagraph">
    <w:name w:val="List Paragraph"/>
    <w:basedOn w:val="Normal"/>
    <w:uiPriority w:val="34"/>
    <w:qFormat/>
    <w:rsid w:val="009B2E95"/>
    <w:pPr>
      <w:spacing w:after="160" w:line="278" w:lineRule="auto"/>
      <w:ind w:left="720"/>
      <w:contextualSpacing/>
    </w:pPr>
    <w:rPr>
      <w:rFonts w:eastAsiaTheme="minorEastAsia"/>
      <w:lang w:eastAsia="zh-CN" w:bidi="ug-CN"/>
    </w:rPr>
  </w:style>
  <w:style w:type="character" w:styleId="IntenseEmphasis">
    <w:name w:val="Intense Emphasis"/>
    <w:basedOn w:val="DefaultParagraphFont"/>
    <w:uiPriority w:val="21"/>
    <w:qFormat/>
    <w:rsid w:val="009B2E95"/>
    <w:rPr>
      <w:i/>
      <w:iCs/>
      <w:color w:val="0F4761" w:themeColor="accent1" w:themeShade="BF"/>
    </w:rPr>
  </w:style>
  <w:style w:type="paragraph" w:styleId="IntenseQuote">
    <w:name w:val="Intense Quote"/>
    <w:basedOn w:val="Normal"/>
    <w:next w:val="Normal"/>
    <w:link w:val="IntenseQuoteChar"/>
    <w:uiPriority w:val="30"/>
    <w:qFormat/>
    <w:rsid w:val="009B2E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lang w:eastAsia="zh-CN" w:bidi="ug-CN"/>
    </w:rPr>
  </w:style>
  <w:style w:type="character" w:customStyle="1" w:styleId="IntenseQuoteChar">
    <w:name w:val="Intense Quote Char"/>
    <w:basedOn w:val="DefaultParagraphFont"/>
    <w:link w:val="IntenseQuote"/>
    <w:uiPriority w:val="30"/>
    <w:rsid w:val="009B2E95"/>
    <w:rPr>
      <w:i/>
      <w:iCs/>
      <w:color w:val="0F4761" w:themeColor="accent1" w:themeShade="BF"/>
    </w:rPr>
  </w:style>
  <w:style w:type="character" w:styleId="IntenseReference">
    <w:name w:val="Intense Reference"/>
    <w:basedOn w:val="DefaultParagraphFont"/>
    <w:uiPriority w:val="32"/>
    <w:qFormat/>
    <w:rsid w:val="009B2E95"/>
    <w:rPr>
      <w:b/>
      <w:bCs/>
      <w:smallCaps/>
      <w:color w:val="0F4761" w:themeColor="accent1" w:themeShade="BF"/>
      <w:spacing w:val="5"/>
    </w:rPr>
  </w:style>
  <w:style w:type="table" w:styleId="TableGrid">
    <w:name w:val="Table Grid"/>
    <w:basedOn w:val="TableNormal"/>
    <w:uiPriority w:val="39"/>
    <w:rsid w:val="009B2E95"/>
    <w:pPr>
      <w:spacing w:after="0" w:line="240" w:lineRule="auto"/>
    </w:pPr>
    <w:rPr>
      <w:rFonts w:eastAsiaTheme="minorHAns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1CC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425</Words>
  <Characters>2597</Characters>
  <Application>Microsoft Office Word</Application>
  <DocSecurity>0</DocSecurity>
  <Lines>112</Lines>
  <Paragraphs>41</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Seaman</dc:creator>
  <cp:keywords/>
  <dc:description/>
  <cp:lastModifiedBy>Anna Seaman</cp:lastModifiedBy>
  <cp:revision>5</cp:revision>
  <dcterms:created xsi:type="dcterms:W3CDTF">2026-08-06T15:18:00Z</dcterms:created>
  <dcterms:modified xsi:type="dcterms:W3CDTF">2026-08-06T16:48:00Z</dcterms:modified>
</cp:coreProperties>
</file>