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3E9BF" w14:textId="7DF61094" w:rsidR="00F16947" w:rsidRPr="00D53B0F" w:rsidRDefault="00F16947" w:rsidP="005A54C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21" w:name="_Hlk213080489"/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3"/>
        <w:gridCol w:w="2769"/>
        <w:gridCol w:w="974"/>
        <w:gridCol w:w="3554"/>
      </w:tblGrid>
      <w:tr w:rsidR="00ED6ED9" w14:paraId="7089A715" w14:textId="77777777" w:rsidTr="005F40DB">
        <w:trPr>
          <w:trHeight w:val="144"/>
        </w:trPr>
        <w:tc>
          <w:tcPr>
            <w:tcW w:w="2065" w:type="dxa"/>
            <w:shd w:val="clear" w:color="auto" w:fill="A73023"/>
          </w:tcPr>
          <w:p w14:paraId="26FDB15B" w14:textId="0881FFE1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CRITERIA</w:t>
            </w:r>
          </w:p>
        </w:tc>
        <w:tc>
          <w:tcPr>
            <w:tcW w:w="2790" w:type="dxa"/>
            <w:shd w:val="clear" w:color="auto" w:fill="A73023"/>
          </w:tcPr>
          <w:p w14:paraId="6D89C7B9" w14:textId="7E421A46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DESCRIPTION</w:t>
            </w:r>
          </w:p>
        </w:tc>
        <w:tc>
          <w:tcPr>
            <w:tcW w:w="900" w:type="dxa"/>
            <w:shd w:val="clear" w:color="auto" w:fill="A73023"/>
          </w:tcPr>
          <w:p w14:paraId="59BFF1FA" w14:textId="48F6F0D5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SCORE</w:t>
            </w:r>
          </w:p>
        </w:tc>
        <w:tc>
          <w:tcPr>
            <w:tcW w:w="3595" w:type="dxa"/>
            <w:shd w:val="clear" w:color="auto" w:fill="A73023"/>
          </w:tcPr>
          <w:p w14:paraId="33B2E1B5" w14:textId="4481E987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COMMENTS</w:t>
            </w:r>
          </w:p>
        </w:tc>
      </w:tr>
      <w:tr w:rsidR="00ED6ED9" w:rsidRPr="00ED6ED9" w14:paraId="4924402F" w14:textId="77777777" w:rsidTr="005F40DB">
        <w:tc>
          <w:tcPr>
            <w:tcW w:w="2065" w:type="dxa"/>
            <w:shd w:val="clear" w:color="auto" w:fill="EDD2C4"/>
          </w:tcPr>
          <w:p w14:paraId="6BDBB1A9" w14:textId="7187081A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Injury assessment</w:t>
            </w:r>
          </w:p>
        </w:tc>
        <w:tc>
          <w:tcPr>
            <w:tcW w:w="2790" w:type="dxa"/>
          </w:tcPr>
          <w:p w14:paraId="663B82EC" w14:textId="5799EBF0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Identifies pertinent chief complaint; uses palpation, range of motion, and special tests</w:t>
            </w:r>
          </w:p>
        </w:tc>
        <w:tc>
          <w:tcPr>
            <w:tcW w:w="900" w:type="dxa"/>
          </w:tcPr>
          <w:p w14:paraId="141A928B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5A74AD2B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  <w:tr w:rsidR="00ED6ED9" w:rsidRPr="00ED6ED9" w14:paraId="009911A2" w14:textId="77777777" w:rsidTr="005F40DB">
        <w:tc>
          <w:tcPr>
            <w:tcW w:w="2065" w:type="dxa"/>
            <w:shd w:val="clear" w:color="auto" w:fill="EDD2C4"/>
          </w:tcPr>
          <w:p w14:paraId="0EBF24B1" w14:textId="3EF7A242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Determines the need to ask for a 4-min injury time-out</w:t>
            </w:r>
          </w:p>
        </w:tc>
        <w:tc>
          <w:tcPr>
            <w:tcW w:w="2790" w:type="dxa"/>
          </w:tcPr>
          <w:p w14:paraId="55EF5711" w14:textId="3D1892A5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Identifies if additional time is needed to prepare the athlete to return to play (RTP) or if athlete is forfeiting</w:t>
            </w:r>
          </w:p>
        </w:tc>
        <w:tc>
          <w:tcPr>
            <w:tcW w:w="900" w:type="dxa"/>
          </w:tcPr>
          <w:p w14:paraId="59EC0CED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4FB8D390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  <w:tr w:rsidR="00ED6ED9" w:rsidRPr="00ED6ED9" w14:paraId="729163B9" w14:textId="77777777" w:rsidTr="005F40DB">
        <w:tc>
          <w:tcPr>
            <w:tcW w:w="2065" w:type="dxa"/>
            <w:shd w:val="clear" w:color="auto" w:fill="EDD2C4"/>
          </w:tcPr>
          <w:p w14:paraId="0B4630EC" w14:textId="72BEA785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lastRenderedPageBreak/>
              <w:t>Management</w:t>
            </w:r>
          </w:p>
        </w:tc>
        <w:tc>
          <w:tcPr>
            <w:tcW w:w="2790" w:type="dxa"/>
          </w:tcPr>
          <w:p w14:paraId="1ECF82A3" w14:textId="172D8285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Correctly evaluates and conducts next steps for management or treatment—tape and return or stabilize or remove from competition</w:t>
            </w:r>
          </w:p>
        </w:tc>
        <w:tc>
          <w:tcPr>
            <w:tcW w:w="900" w:type="dxa"/>
          </w:tcPr>
          <w:p w14:paraId="19D36F56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5F62F657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  <w:tr w:rsidR="00ED6ED9" w:rsidRPr="00ED6ED9" w14:paraId="7C4B01A1" w14:textId="77777777" w:rsidTr="005F40DB">
        <w:tc>
          <w:tcPr>
            <w:tcW w:w="2065" w:type="dxa"/>
            <w:shd w:val="clear" w:color="auto" w:fill="EDD2C4"/>
          </w:tcPr>
          <w:p w14:paraId="702D3C43" w14:textId="47F4DCB1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proofErr w:type="gramStart"/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Makes</w:t>
            </w:r>
            <w:proofErr w:type="gramEnd"/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 xml:space="preserve"> RTP decision with athlete</w:t>
            </w:r>
          </w:p>
        </w:tc>
        <w:tc>
          <w:tcPr>
            <w:tcW w:w="2790" w:type="dxa"/>
          </w:tcPr>
          <w:p w14:paraId="126DD1E6" w14:textId="17C34ADE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Discusses RTP decision with athlete and consequences of injury and RTP</w:t>
            </w:r>
          </w:p>
        </w:tc>
        <w:tc>
          <w:tcPr>
            <w:tcW w:w="900" w:type="dxa"/>
          </w:tcPr>
          <w:p w14:paraId="1A1A2C44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7920D9A8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</w:tbl>
    <w:p w14:paraId="3A45ECE9" w14:textId="2BCD7852" w:rsidR="005C72FE" w:rsidRPr="005F40DB" w:rsidRDefault="00ED6ED9" w:rsidP="005F40DB">
      <w:pP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5F40DB">
        <w:rPr>
          <w:rFonts w:ascii="Aptos" w:hAnsi="Aptos" w:cs="Aptos" w:eastAsia="Aptos"/>
          <w:color w:val="000000"/>
          <w:sz w:val="20"/>
          <w:szCs w:val="20"/>
        </w:rPr>
        <w:t>0 = inadequate or dangerous; 1 = approaching competence but not ready for unsupervised practice; 2 = competency meets minimum standards for entry-level athletic trainer.</w:t>
      </w:r>
    </w:p>
    <w:p w14:paraId="5182F583" w14:textId="2956E2FF" w:rsidR="00ED6ED9" w:rsidRPr="005F40DB" w:rsidRDefault="005C72FE" w:rsidP="005F40D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Other comments: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