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AA96F" w14:textId="03DBA071" w:rsidR="00140E64" w:rsidRPr="00A445A7" w:rsidRDefault="00C5693C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857B4E">
        <w:rPr>
          <w:rFonts w:ascii="Aptos" w:hAnsi="Aptos" w:cs="Aptos" w:eastAsia="Aptos"/>
          <w:color w:val="000000"/>
          <w:sz w:val="40"/>
          <w:szCs w:val="40"/>
        </w:rPr>
        <w:t>2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3B2EBA7" w14:textId="1BA6CB5F" w:rsidR="00140E64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The pediatrician who assists you in providing medical coverage to your high school athletes is evaluating a football player’s ankle injury. The </w:t>
      </w:r>
      <w:r w:rsidR="00444801" w:rsidRPr="00A445A7">
        <w:rPr>
          <w:rFonts w:ascii="Aptos" w:hAnsi="Aptos" w:cs="Aptos" w:eastAsia="Aptos"/>
          <w:color w:val="000000"/>
          <w:sz w:val="24"/>
          <w:szCs w:val="24"/>
        </w:rPr>
        <w:t xml:space="preserve">patient 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forcefully rotated to the outside (external rotation) on a planted foot and felt immediate pain. What special test should be used to evaluate this injury?</w:t>
      </w:r>
    </w:p>
    <w:p w14:paraId="212241B5" w14:textId="4DE77F44" w:rsidR="00CF382B" w:rsidRPr="00A445A7" w:rsidRDefault="391004B2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Answer: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External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r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otation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est, Cotton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est</w:t>
      </w:r>
    </w:p>
    <w:p w14:paraId="552C9CEB" w14:textId="5DF1F1F4" w:rsidR="00CF382B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Anterior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i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nferior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ibiofibular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l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igament</w:t>
      </w:r>
      <w:r w:rsidR="00F80F22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s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yndesmosis </w:t>
      </w:r>
      <w:r w:rsidR="00101C0F">
        <w:rPr>
          <w:rFonts w:ascii="Aptos" w:hAnsi="Aptos" w:cs="Aptos" w:eastAsia="Aptos"/>
          <w:color w:val="000000"/>
          <w:sz w:val="24"/>
          <w:szCs w:val="24"/>
        </w:rPr>
        <w:t>i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njury (</w:t>
      </w:r>
      <w:r w:rsidR="00F80F22">
        <w:rPr>
          <w:rFonts w:ascii="Aptos" w:hAnsi="Aptos" w:cs="Aptos" w:eastAsia="Aptos"/>
          <w:color w:val="000000"/>
          <w:sz w:val="24"/>
          <w:szCs w:val="24"/>
        </w:rPr>
        <w:t>h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igh ankle sprain)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