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EAF85" w14:textId="1640B575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3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521041AE" w14:textId="6CC89FBD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>You are evaluating a recreational tennis player who experienced knee pain when the</w:t>
      </w:r>
      <w:r w:rsidR="00E20C66">
        <w:rPr>
          <w:rFonts w:ascii="Aptos" w:hAnsi="Aptos" w:cs="Aptos" w:eastAsia="Aptos"/>
          <w:color w:val="000000"/>
          <w:sz w:val="24"/>
          <w:szCs w:val="24"/>
        </w:rPr>
        <w:t>y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stepped, pivoted, and rotated on a fixed leg. The </w:t>
      </w:r>
      <w:proofErr w:type="gramStart"/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>patient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reports</w:t>
      </w:r>
      <w:proofErr w:type="gramEnd"/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gramStart"/>
      <w:r w:rsidRPr="00A445A7">
        <w:rPr>
          <w:rFonts w:ascii="Aptos" w:hAnsi="Aptos" w:cs="Aptos" w:eastAsia="Aptos"/>
          <w:color w:val="000000"/>
          <w:sz w:val="24"/>
          <w:szCs w:val="24"/>
        </w:rPr>
        <w:t>hearing</w:t>
      </w:r>
      <w:proofErr w:type="gramEnd"/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 pop. How would you assess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static stability of the </w:t>
      </w:r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>patient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’s knee joint? What special tests would you perform?</w:t>
      </w:r>
    </w:p>
    <w:p w14:paraId="6C44D256" w14:textId="16CA5B6B" w:rsidR="007439BD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40CD181B"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Lachman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est,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p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ivot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s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hift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est, or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a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nterior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d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rawer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est</w:t>
      </w:r>
    </w:p>
    <w:p w14:paraId="36683CC9" w14:textId="6AD5C0B9" w:rsidR="00CF382B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Anterior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c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ruciate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l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igament </w:t>
      </w:r>
      <w:r w:rsidR="007C116C">
        <w:rPr>
          <w:rFonts w:ascii="Aptos" w:hAnsi="Aptos" w:cs="Aptos" w:eastAsia="Aptos"/>
          <w:color w:val="000000"/>
          <w:sz w:val="24"/>
          <w:szCs w:val="24"/>
        </w:rPr>
        <w:t xml:space="preserve">(ACL)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rupture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