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EE79E" w14:textId="77777777" w:rsidR="00834384" w:rsidRPr="00DF5383" w:rsidRDefault="00834384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03DCEFE7" w14:textId="5218B820" w:rsidR="00834384" w:rsidRPr="00DF5383" w:rsidRDefault="001A068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Presimulation Activity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2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: Palpation</w:t>
      </w:r>
    </w:p>
    <w:p w14:paraId="65BAC31B" w14:textId="1CE6FB21" w:rsidR="2EF88BA1" w:rsidRPr="00DF5383" w:rsidRDefault="2EF88BA1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>Students should reflect on their palpation practice and document any abnormal findings in their partner.</w:t>
      </w:r>
    </w:p>
    <w:p w14:paraId="2A3D8D61" w14:textId="195C7334" w:rsidR="2EF88BA1" w:rsidRPr="00DF5383" w:rsidRDefault="001A068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Presimulation Activity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3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: Background Information</w:t>
      </w:r>
    </w:p>
    <w:p w14:paraId="5690D8F3" w14:textId="0C53CBAD" w:rsidR="2EF88BA1" w:rsidRPr="00DF5383" w:rsidRDefault="2EF88BA1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>Posterior aspect of the shoulder may appear hollow or flattened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arm is often positioned in slight abduction and external rotation.</w:t>
      </w:r>
    </w:p>
    <w:p w14:paraId="275265BA" w14:textId="0ABC41A0" w:rsidR="2EF88BA1" w:rsidRPr="00DF5383" w:rsidRDefault="001A068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Presimulation Activity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4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: Anatomy</w:t>
      </w:r>
    </w:p>
    <w:p w14:paraId="445F3FBF" w14:textId="6B444BE5" w:rsidR="2EF88BA1" w:rsidRPr="00DF5383" w:rsidRDefault="2EF88BA1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Proximal row: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Scaphoid, lunate, triquetrum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and pisiform</w:t>
      </w:r>
    </w:p>
    <w:p w14:paraId="43235666" w14:textId="4BFD38CD" w:rsidR="2EF88BA1" w:rsidRPr="00DF5383" w:rsidRDefault="2EF88BA1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Distal row: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Trapezium, trapezoid, capitate, 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 xml:space="preserve">and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hamate</w:t>
      </w:r>
    </w:p>
    <w:p w14:paraId="05403C56" w14:textId="732E3F49" w:rsidR="2EF88BA1" w:rsidRPr="00DF5383" w:rsidRDefault="001A068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Presimulation Activity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5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: Special Test Understandings</w:t>
      </w:r>
    </w:p>
    <w:p w14:paraId="42737E9A" w14:textId="23681781" w:rsidR="2EF88BA1" w:rsidRPr="006A5E0F" w:rsidRDefault="2EF88BA1" w:rsidP="006A5E0F">
      <w:pPr>
        <w:pStyle w:val="ListParagraph"/>
        <w:numPr>
          <w:ilvl w:val="0"/>
          <w:numId w:val="13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6A5E0F">
        <w:rPr>
          <w:rFonts w:ascii="Aptos" w:hAnsi="Aptos" w:cs="Aptos" w:eastAsia="Aptos"/>
          <w:color w:val="000000"/>
          <w:sz w:val="24"/>
          <w:szCs w:val="24"/>
        </w:rPr>
        <w:t xml:space="preserve">Differentiation between a UCL tear of the elbow and medial epicondylitis is often done by asking about </w:t>
      </w:r>
      <w:r w:rsidR="003246BA" w:rsidRPr="006A5E0F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6A5E0F">
        <w:rPr>
          <w:rFonts w:ascii="Aptos" w:hAnsi="Aptos" w:cs="Aptos" w:eastAsia="Aptos"/>
          <w:color w:val="000000"/>
          <w:sz w:val="24"/>
          <w:szCs w:val="24"/>
        </w:rPr>
        <w:t>location of pain, mechanism of injury, and ligamentous stress testing.</w:t>
      </w:r>
    </w:p>
    <w:p w14:paraId="0F9D83F3" w14:textId="03C0AD32" w:rsidR="2EF88BA1" w:rsidRPr="006A5E0F" w:rsidRDefault="2EF88BA1" w:rsidP="006A5E0F">
      <w:pPr>
        <w:pStyle w:val="ListParagraph"/>
        <w:numPr>
          <w:ilvl w:val="0"/>
          <w:numId w:val="13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6A5E0F">
        <w:rPr>
          <w:rFonts w:ascii="Aptos" w:hAnsi="Aptos" w:cs="Aptos" w:eastAsia="Aptos"/>
          <w:color w:val="000000"/>
          <w:sz w:val="24"/>
          <w:szCs w:val="24"/>
        </w:rPr>
        <w:lastRenderedPageBreak/>
        <w:t>Differentiation between a UCL tear of the thumb and a scaphoid fracture is often done based on palpation of the anatomical snuffbox, ligamentous stress testing, and compression testing of the scaphoid.</w:t>
      </w:r>
    </w:p>
    <w:p w14:paraId="35D937A4" w14:textId="46D921A6" w:rsidR="00CC4035" w:rsidRDefault="2EF88BA1" w:rsidP="00CC4035">
      <w:pPr>
        <w:pStyle w:val="ListParagraph"/>
        <w:numPr>
          <w:ilvl w:val="0"/>
          <w:numId w:val="13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6A5E0F">
        <w:rPr>
          <w:rFonts w:ascii="Aptos" w:hAnsi="Aptos" w:cs="Aptos" w:eastAsia="Aptos"/>
          <w:color w:val="000000"/>
          <w:sz w:val="24"/>
          <w:szCs w:val="24"/>
        </w:rPr>
        <w:t>Students should practice the following tests for each pathology</w:t>
      </w:r>
      <w:r w:rsidR="00CC4035">
        <w:rPr>
          <w:rFonts w:ascii="Aptos" w:hAnsi="Aptos" w:cs="Aptos" w:eastAsia="Aptos"/>
          <w:color w:val="000000"/>
          <w:sz w:val="24"/>
          <w:szCs w:val="24"/>
        </w:rPr>
        <w:t>.</w:t>
      </w:r>
    </w:p>
    <w:tbl>
      <w:tblPr>
        <w:tblStyle w:val="TableGrid"/>
        <w:tblW w:w="3750" w:type="pct"/>
        <w:tblInd w:w="720" w:type="dxa"/>
        <w:tblLook w:val="06A0" w:firstRow="1" w:lastRow="0" w:firstColumn="1" w:lastColumn="0" w:noHBand="1" w:noVBand="1"/>
      </w:tblPr>
      <w:tblGrid>
        <w:gridCol w:w="3637"/>
        <w:gridCol w:w="3545"/>
      </w:tblGrid>
      <w:tr w:rsidR="007B6820" w:rsidRPr="00DF5383" w14:paraId="3ABC4B94" w14:textId="77777777" w:rsidTr="006A5E0F">
        <w:trPr>
          <w:trHeight w:val="432"/>
        </w:trPr>
        <w:tc>
          <w:tcPr>
            <w:tcW w:w="3637" w:type="dxa"/>
            <w:shd w:val="clear" w:color="auto" w:fill="A73023"/>
          </w:tcPr>
          <w:p w14:paraId="60DB6815" w14:textId="3DB73897" w:rsidR="2EF88BA1" w:rsidRPr="006A5E0F" w:rsidRDefault="008F220F" w:rsidP="006A5E0F">
            <w:pPr>
              <w:pStyle w:val="ListParagraph"/>
              <w:spacing w:line="48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A5E0F">
              <w:rPr>
                <w:rFonts w:ascii="Aptos" w:hAnsi="Aptos" w:cs="Aptos" w:eastAsia="Aptos"/>
                <w:b/>
                <w:bCs/>
                <w:color w:val="FFFFFF" w:themeColor="background1"/>
              </w:rPr>
              <w:t>PATHOLOGY</w:t>
            </w:r>
          </w:p>
        </w:tc>
        <w:tc>
          <w:tcPr>
            <w:tcW w:w="3545" w:type="dxa"/>
            <w:shd w:val="clear" w:color="auto" w:fill="A73023"/>
          </w:tcPr>
          <w:p w14:paraId="6BE8AC4A" w14:textId="3D343E82" w:rsidR="2EF88BA1" w:rsidRPr="006A5E0F" w:rsidRDefault="008F220F" w:rsidP="006A5E0F">
            <w:pPr>
              <w:pStyle w:val="ListParagraph"/>
              <w:spacing w:line="48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A5E0F">
              <w:rPr>
                <w:rFonts w:ascii="Aptos" w:hAnsi="Aptos" w:cs="Aptos" w:eastAsia="Aptos"/>
                <w:b/>
                <w:bCs/>
                <w:color w:val="FFFFFF" w:themeColor="background1"/>
              </w:rPr>
              <w:t>SPECIAL TEST</w:t>
            </w:r>
          </w:p>
        </w:tc>
      </w:tr>
      <w:tr w:rsidR="007B6820" w:rsidRPr="00DF5383" w14:paraId="78E625A5" w14:textId="77777777" w:rsidTr="006A5E0F">
        <w:trPr>
          <w:trHeight w:val="432"/>
        </w:trPr>
        <w:tc>
          <w:tcPr>
            <w:tcW w:w="3637" w:type="dxa"/>
          </w:tcPr>
          <w:p w14:paraId="622FED32" w14:textId="748E373B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Scaphoid fracture</w:t>
            </w:r>
          </w:p>
        </w:tc>
        <w:tc>
          <w:tcPr>
            <w:tcW w:w="3545" w:type="dxa"/>
          </w:tcPr>
          <w:p w14:paraId="7F0968D9" w14:textId="09117C1A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Scaphoid compression test</w:t>
            </w:r>
          </w:p>
        </w:tc>
      </w:tr>
      <w:tr w:rsidR="007B6820" w:rsidRPr="00DF5383" w14:paraId="0795CB8C" w14:textId="77777777" w:rsidTr="006A5E0F">
        <w:trPr>
          <w:trHeight w:val="432"/>
        </w:trPr>
        <w:tc>
          <w:tcPr>
            <w:tcW w:w="3637" w:type="dxa"/>
          </w:tcPr>
          <w:p w14:paraId="4A8FFDAF" w14:textId="292C3367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UCL sprain of the thumb</w:t>
            </w:r>
          </w:p>
        </w:tc>
        <w:tc>
          <w:tcPr>
            <w:tcW w:w="3545" w:type="dxa"/>
          </w:tcPr>
          <w:p w14:paraId="255D8522" w14:textId="2A47BD17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Valgus stress test</w:t>
            </w:r>
          </w:p>
        </w:tc>
      </w:tr>
      <w:tr w:rsidR="007B6820" w:rsidRPr="00DF5383" w14:paraId="7E0F2A02" w14:textId="77777777" w:rsidTr="006A5E0F">
        <w:trPr>
          <w:trHeight w:val="432"/>
        </w:trPr>
        <w:tc>
          <w:tcPr>
            <w:tcW w:w="3637" w:type="dxa"/>
          </w:tcPr>
          <w:p w14:paraId="7F339821" w14:textId="2757B914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UCL sprain of the elbow</w:t>
            </w:r>
          </w:p>
        </w:tc>
        <w:tc>
          <w:tcPr>
            <w:tcW w:w="3545" w:type="dxa"/>
          </w:tcPr>
          <w:p w14:paraId="3CE0D4CD" w14:textId="3DC78CC2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Valgus stress test</w:t>
            </w:r>
          </w:p>
        </w:tc>
      </w:tr>
      <w:tr w:rsidR="007B6820" w:rsidRPr="00DF5383" w14:paraId="082151E4" w14:textId="77777777" w:rsidTr="006A5E0F">
        <w:trPr>
          <w:trHeight w:val="432"/>
        </w:trPr>
        <w:tc>
          <w:tcPr>
            <w:tcW w:w="3637" w:type="dxa"/>
          </w:tcPr>
          <w:p w14:paraId="1545A6AE" w14:textId="04FA5F4A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Lateral elbow epicondylitis</w:t>
            </w:r>
          </w:p>
        </w:tc>
        <w:tc>
          <w:tcPr>
            <w:tcW w:w="3545" w:type="dxa"/>
          </w:tcPr>
          <w:p w14:paraId="43B3F0D4" w14:textId="59AB6FCE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Mill’s test</w:t>
            </w:r>
          </w:p>
        </w:tc>
      </w:tr>
      <w:tr w:rsidR="007B6820" w:rsidRPr="00DF5383" w14:paraId="10E440CE" w14:textId="77777777" w:rsidTr="006A5E0F">
        <w:trPr>
          <w:trHeight w:val="432"/>
        </w:trPr>
        <w:tc>
          <w:tcPr>
            <w:tcW w:w="3637" w:type="dxa"/>
          </w:tcPr>
          <w:p w14:paraId="6AC51A78" w14:textId="023F1B7B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 xml:space="preserve">Clavicle fracture </w:t>
            </w:r>
          </w:p>
        </w:tc>
        <w:tc>
          <w:tcPr>
            <w:tcW w:w="3545" w:type="dxa"/>
          </w:tcPr>
          <w:p w14:paraId="3C23AF2B" w14:textId="0FEA0048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Piano key sign</w:t>
            </w:r>
          </w:p>
        </w:tc>
      </w:tr>
    </w:tbl>
    <w:p w14:paraId="5E587559" w14:textId="503EBB25" w:rsidR="2EF88BA1" w:rsidRPr="00DF5383" w:rsidRDefault="001A068A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Presimulation Activity 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6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>: Special Test Selection</w:t>
      </w:r>
    </w:p>
    <w:p w14:paraId="48FF2C99" w14:textId="7CEF3C6B" w:rsidR="2EF88BA1" w:rsidRPr="00DF5383" w:rsidRDefault="514D8270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Students are required to complete this activity and should submit </w:t>
      </w:r>
      <w:r w:rsidR="003246BA" w:rsidRPr="00DF5383">
        <w:rPr>
          <w:rFonts w:ascii="Aptos" w:eastAsia="Aptos" w:hAnsi="Aptos" w:cs="Aptos"/>
          <w:color w:val="000000"/>
          <w:sz w:val="24"/>
          <w:szCs w:val="24"/>
        </w:rPr>
        <w:t xml:space="preserve">the following 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>to the instructor</w:t>
      </w:r>
      <w:r w:rsidR="003246BA" w:rsidRPr="00DF5383">
        <w:rPr>
          <w:rFonts w:ascii="Aptos" w:eastAsia="Aptos" w:hAnsi="Aptos" w:cs="Aptos"/>
          <w:color w:val="000000"/>
          <w:sz w:val="24"/>
          <w:szCs w:val="24"/>
        </w:rPr>
        <w:t>: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special tests appropriate for the situation, how to perform the special test and any appropriate variations, and appropriate next steps or referrals with 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two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references cited. Students should also have 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four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questions written down to ask HCPs.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