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83EA6" w14:textId="1A2E9DBC" w:rsidR="00A11F3E" w:rsidRDefault="00310315" w:rsidP="004C25C2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Rubric: </w:t>
      </w:r>
      <w:r w:rsidR="00265E26" w:rsidRPr="00B074EB">
        <w:rPr>
          <w:rFonts w:ascii="Aptos" w:hAnsi="Aptos" w:eastAsia="Aptos" w:cs="Aptos"/>
          <w:color w:val="000000"/>
          <w:sz w:val="40"/>
          <w:szCs w:val="40"/>
        </w:rPr>
        <w:t>Unconscious Basketball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58"/>
        <w:gridCol w:w="540"/>
        <w:gridCol w:w="2486"/>
        <w:gridCol w:w="214"/>
        <w:gridCol w:w="900"/>
        <w:gridCol w:w="720"/>
        <w:gridCol w:w="3258"/>
      </w:tblGrid>
      <w:tr w:rsidR="00E62EFA" w:rsidRPr="00B074EB" w14:paraId="63B6FF15" w14:textId="77777777" w:rsidTr="00CF29C5">
        <w:trPr>
          <w:trHeight w:val="300"/>
        </w:trPr>
        <w:tc>
          <w:tcPr>
            <w:tcW w:w="1458" w:type="dxa"/>
            <w:tcBorders>
              <w:top w:val="nil"/>
              <w:left w:val="nil"/>
              <w:right w:val="nil"/>
            </w:tcBorders>
          </w:tcPr>
          <w:p w14:paraId="1F462B03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HCP name:</w:t>
            </w:r>
          </w:p>
        </w:tc>
        <w:tc>
          <w:tcPr>
            <w:tcW w:w="3240" w:type="dxa"/>
            <w:gridSpan w:val="3"/>
            <w:tcBorders>
              <w:top w:val="nil"/>
              <w:left w:val="nil"/>
              <w:right w:val="nil"/>
            </w:tcBorders>
          </w:tcPr>
          <w:p w14:paraId="61ECD72C" w14:textId="6340B055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right w:val="nil"/>
            </w:tcBorders>
          </w:tcPr>
          <w:p w14:paraId="56079EF4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3258" w:type="dxa"/>
            <w:tcBorders>
              <w:top w:val="nil"/>
              <w:left w:val="nil"/>
              <w:right w:val="nil"/>
            </w:tcBorders>
          </w:tcPr>
          <w:p w14:paraId="7D69ED06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5F89EE3F" w14:textId="77777777" w:rsidTr="00CF29C5">
        <w:trPr>
          <w:trHeight w:val="300"/>
        </w:trPr>
        <w:tc>
          <w:tcPr>
            <w:tcW w:w="1998" w:type="dxa"/>
            <w:gridSpan w:val="2"/>
            <w:shd w:val="clear" w:color="auto" w:fill="A73023"/>
          </w:tcPr>
          <w:p w14:paraId="7E64A4DD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2486" w:type="dxa"/>
            <w:shd w:val="clear" w:color="auto" w:fill="A73023"/>
          </w:tcPr>
          <w:p w14:paraId="5C68D523" w14:textId="756591F0" w:rsidR="00E62EFA" w:rsidRPr="00E62EFA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  <w:tc>
          <w:tcPr>
            <w:tcW w:w="1114" w:type="dxa"/>
            <w:gridSpan w:val="2"/>
            <w:shd w:val="clear" w:color="auto" w:fill="A73023"/>
          </w:tcPr>
          <w:p w14:paraId="7615A320" w14:textId="43C7A099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3978" w:type="dxa"/>
            <w:gridSpan w:val="2"/>
            <w:shd w:val="clear" w:color="auto" w:fill="A73023"/>
          </w:tcPr>
          <w:p w14:paraId="371FF1BF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E62EFA" w:rsidRPr="00B074EB" w14:paraId="33B783F9" w14:textId="77777777" w:rsidTr="00CF29C5">
        <w:trPr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4985DA20" w14:textId="5A94028A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Safety</w:t>
            </w:r>
          </w:p>
        </w:tc>
        <w:tc>
          <w:tcPr>
            <w:tcW w:w="2486" w:type="dxa"/>
          </w:tcPr>
          <w:p w14:paraId="01840F5A" w14:textId="7B325FDD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Assumed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,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 but provider is safe, performs safe actions, and considers patient safety</w:t>
            </w:r>
          </w:p>
        </w:tc>
        <w:tc>
          <w:tcPr>
            <w:tcW w:w="1114" w:type="dxa"/>
            <w:gridSpan w:val="2"/>
          </w:tcPr>
          <w:p w14:paraId="2F0DE567" w14:textId="3CC58B76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432669D9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35245F99" w14:textId="77777777" w:rsidTr="00CF29C5">
        <w:trPr>
          <w:trHeight w:val="692"/>
        </w:trPr>
        <w:tc>
          <w:tcPr>
            <w:tcW w:w="1998" w:type="dxa"/>
            <w:gridSpan w:val="2"/>
            <w:shd w:val="clear" w:color="auto" w:fill="EDD2C4"/>
          </w:tcPr>
          <w:p w14:paraId="224EAEA4" w14:textId="31E1EE3D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Pulse, breathing, and responsiveness (PBR)</w:t>
            </w:r>
          </w:p>
        </w:tc>
        <w:tc>
          <w:tcPr>
            <w:tcW w:w="2486" w:type="dxa"/>
          </w:tcPr>
          <w:p w14:paraId="39486BD6" w14:textId="437D701A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Assessment begins with PBR within </w:t>
            </w:r>
            <w:r w:rsidRPr="006A7ECA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30 sec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 of collapse</w:t>
            </w:r>
          </w:p>
        </w:tc>
        <w:tc>
          <w:tcPr>
            <w:tcW w:w="1114" w:type="dxa"/>
            <w:gridSpan w:val="2"/>
          </w:tcPr>
          <w:p w14:paraId="3F8E927C" w14:textId="424DAF3C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5B966EC5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47CD4ACA" w14:textId="77777777" w:rsidTr="00CF29C5">
        <w:trPr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4F7436DD" w14:textId="09C5CA85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lastRenderedPageBreak/>
              <w:t xml:space="preserve">Airway and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b</w:t>
            </w: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reathing</w:t>
            </w:r>
          </w:p>
        </w:tc>
        <w:tc>
          <w:tcPr>
            <w:tcW w:w="2486" w:type="dxa"/>
          </w:tcPr>
          <w:p w14:paraId="6B260851" w14:textId="03F712DB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Ensures the airway is open, resolves snoring respirations; looks in mouth; uses jaw-thrust maneuver if spinal injury is suspected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—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congruent with holding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-spine or other actions; considers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o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xygen</w:t>
            </w:r>
          </w:p>
        </w:tc>
        <w:tc>
          <w:tcPr>
            <w:tcW w:w="1114" w:type="dxa"/>
            <w:gridSpan w:val="2"/>
          </w:tcPr>
          <w:p w14:paraId="3869A4A9" w14:textId="2A5DCA48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47DEC235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3C764F56" w14:textId="77777777" w:rsidTr="00CF29C5">
        <w:trPr>
          <w:trHeight w:val="70"/>
        </w:trPr>
        <w:tc>
          <w:tcPr>
            <w:tcW w:w="1998" w:type="dxa"/>
            <w:gridSpan w:val="2"/>
            <w:shd w:val="clear" w:color="auto" w:fill="EDD2C4"/>
          </w:tcPr>
          <w:p w14:paraId="29BAF190" w14:textId="20FB4B72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Circulation</w:t>
            </w:r>
          </w:p>
        </w:tc>
        <w:tc>
          <w:tcPr>
            <w:tcW w:w="2486" w:type="dxa"/>
          </w:tcPr>
          <w:p w14:paraId="57E457C6" w14:textId="638A1620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Assesses pulse, skin color, temperature, and condition</w:t>
            </w:r>
          </w:p>
        </w:tc>
        <w:tc>
          <w:tcPr>
            <w:tcW w:w="1114" w:type="dxa"/>
            <w:gridSpan w:val="2"/>
          </w:tcPr>
          <w:p w14:paraId="03D1F469" w14:textId="2D19F54D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289A247B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715BB126" w14:textId="77777777" w:rsidTr="00CF29C5">
        <w:trPr>
          <w:trHeight w:val="512"/>
        </w:trPr>
        <w:tc>
          <w:tcPr>
            <w:tcW w:w="1998" w:type="dxa"/>
            <w:gridSpan w:val="2"/>
            <w:shd w:val="clear" w:color="auto" w:fill="EDD2C4"/>
          </w:tcPr>
          <w:p w14:paraId="21CE691D" w14:textId="271153F3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Assesses level of consciousness</w:t>
            </w:r>
          </w:p>
        </w:tc>
        <w:tc>
          <w:tcPr>
            <w:tcW w:w="2486" w:type="dxa"/>
          </w:tcPr>
          <w:p w14:paraId="49E94B36" w14:textId="5ECE5B4E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Checks pupil response, attempts responsiveness; repeatedly checks and communicates with patient</w:t>
            </w:r>
          </w:p>
        </w:tc>
        <w:tc>
          <w:tcPr>
            <w:tcW w:w="1114" w:type="dxa"/>
            <w:gridSpan w:val="2"/>
          </w:tcPr>
          <w:p w14:paraId="06A35355" w14:textId="6E0827BC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42C09688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53D0DC36" w14:textId="77777777" w:rsidTr="00CF29C5">
        <w:trPr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65A80586" w14:textId="7210F840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Exposure and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e</w:t>
            </w: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nvironment</w:t>
            </w:r>
          </w:p>
        </w:tc>
        <w:tc>
          <w:tcPr>
            <w:tcW w:w="2486" w:type="dxa"/>
          </w:tcPr>
          <w:p w14:paraId="470ACA2D" w14:textId="1010A890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Considers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a 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blanket for shock or mentions temperature management</w:t>
            </w:r>
          </w:p>
        </w:tc>
        <w:tc>
          <w:tcPr>
            <w:tcW w:w="1114" w:type="dxa"/>
            <w:gridSpan w:val="2"/>
          </w:tcPr>
          <w:p w14:paraId="79E8D64B" w14:textId="15F73076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7471FBAC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6474FA21" w14:textId="77777777" w:rsidTr="00CF29C5">
        <w:trPr>
          <w:trHeight w:val="800"/>
        </w:trPr>
        <w:tc>
          <w:tcPr>
            <w:tcW w:w="1998" w:type="dxa"/>
            <w:gridSpan w:val="2"/>
            <w:shd w:val="clear" w:color="auto" w:fill="EDD2C4"/>
          </w:tcPr>
          <w:p w14:paraId="0E9CDEA9" w14:textId="400F279F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Spinal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m</w:t>
            </w: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otion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r</w:t>
            </w: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estriction (SMR)</w:t>
            </w:r>
          </w:p>
        </w:tc>
        <w:tc>
          <w:tcPr>
            <w:tcW w:w="2486" w:type="dxa"/>
          </w:tcPr>
          <w:p w14:paraId="4E4B95E2" w14:textId="206FD036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Asks for SMR (hold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</w:t>
            </w: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-spine) or justifies why not</w:t>
            </w:r>
          </w:p>
        </w:tc>
        <w:tc>
          <w:tcPr>
            <w:tcW w:w="1114" w:type="dxa"/>
            <w:gridSpan w:val="2"/>
          </w:tcPr>
          <w:p w14:paraId="3316A11C" w14:textId="03FAF9BE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062F6CFE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1DA60184" w14:textId="77777777" w:rsidTr="00CF29C5">
        <w:trPr>
          <w:trHeight w:val="503"/>
        </w:trPr>
        <w:tc>
          <w:tcPr>
            <w:tcW w:w="1998" w:type="dxa"/>
            <w:gridSpan w:val="2"/>
            <w:shd w:val="clear" w:color="auto" w:fill="EDD2C4"/>
          </w:tcPr>
          <w:p w14:paraId="76ACA41E" w14:textId="6DB041DF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 xml:space="preserve">Physical </w:t>
            </w:r>
            <w:r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e</w:t>
            </w: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xamination</w:t>
            </w:r>
          </w:p>
        </w:tc>
        <w:tc>
          <w:tcPr>
            <w:tcW w:w="2486" w:type="dxa"/>
          </w:tcPr>
          <w:p w14:paraId="5F4FBD52" w14:textId="1DDBED51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Conducts a thorough head-to-toe examination</w:t>
            </w:r>
          </w:p>
        </w:tc>
        <w:tc>
          <w:tcPr>
            <w:tcW w:w="1114" w:type="dxa"/>
            <w:gridSpan w:val="2"/>
          </w:tcPr>
          <w:p w14:paraId="582114D3" w14:textId="44C1F138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0828BB4C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6ABECF26" w14:textId="77777777" w:rsidTr="00CF29C5">
        <w:trPr>
          <w:trHeight w:val="737"/>
        </w:trPr>
        <w:tc>
          <w:tcPr>
            <w:tcW w:w="1998" w:type="dxa"/>
            <w:gridSpan w:val="2"/>
            <w:shd w:val="clear" w:color="auto" w:fill="EDD2C4"/>
          </w:tcPr>
          <w:p w14:paraId="0494F38F" w14:textId="07171F22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4307D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Reassessment</w:t>
            </w:r>
          </w:p>
        </w:tc>
        <w:tc>
          <w:tcPr>
            <w:tcW w:w="2486" w:type="dxa"/>
          </w:tcPr>
          <w:p w14:paraId="66AB4200" w14:textId="1D122083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eastAsia="Aptos" w:hAnsi="Aptos" w:cs="Aptos"/>
                <w:bCs/>
                <w:color w:val="000000"/>
                <w:kern w:val="0"/>
                <w:sz w:val="24"/>
                <w:szCs w:val="24"/>
              </w:rPr>
              <w:t>Considers or performs reassessment (able to identify components)</w:t>
            </w:r>
          </w:p>
        </w:tc>
        <w:tc>
          <w:tcPr>
            <w:tcW w:w="1114" w:type="dxa"/>
            <w:gridSpan w:val="2"/>
          </w:tcPr>
          <w:p w14:paraId="615056D1" w14:textId="111ED3AD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978" w:type="dxa"/>
            <w:gridSpan w:val="2"/>
          </w:tcPr>
          <w:p w14:paraId="621F6DA9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78BBA813" w14:textId="77777777" w:rsidR="00E62EFA" w:rsidRPr="00CF29C5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0"/>
          <w:szCs w:val="20"/>
        </w:rPr>
      </w:pPr>
      <w:r w:rsidRPr="00CF29C5">
        <w:rPr>
          <w:rFonts w:ascii="Aptos" w:hAnsi="Aptos" w:eastAsia="Aptos" w:cs="Aptos"/>
          <w:color w:val="000000"/>
          <w:sz w:val="20"/>
          <w:szCs w:val="20"/>
        </w:rPr>
        <w:t xml:space="preserve">0 = not performed; 1 = inadequate; 2 = </w:t>
      </w:r>
      <w:r w:rsidRPr="00CF29C5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above.</w:t>
      </w:r>
    </w:p>
    <w:p w14:paraId="78F19458" w14:textId="77777777" w:rsidR="00E62EFA" w:rsidRPr="00B074EB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Cs/>
          <w:color w:val="000000"/>
          <w:sz w:val="24"/>
          <w:szCs w:val="24"/>
        </w:rPr>
        <w:t>Other comments: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