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AA96F" w14:textId="03DBA071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2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3B2EBA7" w14:textId="1BA6CB5F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The pediatrician who assists you in providing medical coverage to your high school athletes is evaluating a football player’s ankle injury. The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 xml:space="preserve">patient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forcefully rotated to the outside (external rotation) on a planted foot and felt immediate pain. What special test should be used to evaluate this injury?</w:t>
      </w:r>
    </w:p>
    <w:p w14:paraId="212241B5" w14:textId="4DE77F44" w:rsidR="00CF382B" w:rsidRPr="00A445A7" w:rsidRDefault="391004B2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Answer: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External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r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otation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Cotton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est</w:t>
      </w:r>
    </w:p>
    <w:p w14:paraId="552C9CEB" w14:textId="5DF1F1F4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nferior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ibiofibular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l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igament</w:t>
      </w:r>
      <w:r w:rsidR="00F80F22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yndesmosis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njury (</w:t>
      </w:r>
      <w:r w:rsidR="00F80F22">
        <w:rPr>
          <w:rFonts w:ascii="Aptos" w:hAnsi="Aptos" w:cs="Aptos" w:eastAsia="Aptos"/>
          <w:color w:val="000000"/>
          <w:sz w:val="24"/>
          <w:szCs w:val="24"/>
        </w:rPr>
        <w:t>h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igh ankle sprain)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