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77F07" w14:textId="77777777" w:rsidR="008D56D0" w:rsidRPr="00A445A7" w:rsidRDefault="008D56D0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63302041" w14:textId="08235AC9" w:rsidR="008D56D0" w:rsidRPr="00A445A7" w:rsidRDefault="009E12B0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/>
      </w:r>
      <w:proofErr w:type="spellStart"/>
      <w:r w:rsidRPr="00A445A7">
        <w:rPr>
          <w:rFonts w:ascii="Aptos" w:eastAsia="Aptos" w:hAnsi="Aptos" w:cs="Aptos"/>
          <w:color w:val="000000"/>
          <w:sz w:val="24"/>
          <w:szCs w:val="24"/>
        </w:rPr>
        <w:t>Presimulation</w:t>
      </w:r>
      <w:proofErr w:type="spellEnd"/>
      <w:r w:rsidRPr="00A445A7">
        <w:rPr>
          <w:rFonts w:ascii="Aptos" w:eastAsia="Aptos" w:hAnsi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2</w:t>
      </w:r>
      <w:r>
        <w:rPr>
          <w:rFonts w:ascii="Aptos" w:eastAsia="Aptos" w:hAnsi="Aptos" w:cs="Aptos"/>
          <w:color w:val="000000"/>
          <w:sz w:val="24"/>
          <w:szCs w:val="24"/>
        </w:rPr>
        <w:t>: Palpation</w:t>
      </w:r>
    </w:p>
    <w:p w14:paraId="63491F19" w14:textId="335AC901" w:rsidR="008D56D0" w:rsidRPr="00A445A7" w:rsidRDefault="63CC40E0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>Students should reflect on their palpation practice and document any abnormal findings in their partner.</w:t>
      </w:r>
    </w:p>
    <w:p w14:paraId="5CA2F94E" w14:textId="4F5E7B81" w:rsidR="008D56D0" w:rsidRPr="00A445A7" w:rsidRDefault="009E12B0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/>
      </w:r>
      <w:proofErr w:type="spellStart"/>
      <w:r w:rsidRPr="00A445A7">
        <w:rPr>
          <w:rFonts w:ascii="Aptos" w:eastAsia="Aptos" w:hAnsi="Aptos" w:cs="Aptos"/>
          <w:color w:val="000000"/>
          <w:sz w:val="24"/>
          <w:szCs w:val="24"/>
        </w:rPr>
        <w:t>Presimulation</w:t>
      </w:r>
      <w:proofErr w:type="spellEnd"/>
      <w:r w:rsidRPr="00A445A7">
        <w:rPr>
          <w:rFonts w:ascii="Aptos" w:eastAsia="Aptos" w:hAnsi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3</w:t>
      </w:r>
      <w:r>
        <w:rPr>
          <w:rFonts w:ascii="Aptos" w:eastAsia="Aptos" w:hAnsi="Aptos" w:cs="Aptos"/>
          <w:color w:val="000000"/>
          <w:sz w:val="24"/>
          <w:szCs w:val="24"/>
        </w:rPr>
        <w:t>: Anatomy</w:t>
      </w:r>
    </w:p>
    <w:p w14:paraId="368E684D" w14:textId="0A86818A" w:rsidR="3B047B1B" w:rsidRPr="00FC0FDC" w:rsidRDefault="3B047B1B" w:rsidP="00FC0FDC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The role of the ACL is to prevent anterior translation of the tibia relative to the femur. A noncontact, pivot motion or a blow to the posterior tibia are common mechanisms of injury.</w:t>
      </w:r>
    </w:p>
    <w:p w14:paraId="6F6F142A" w14:textId="5CD4E57E" w:rsidR="3B047B1B" w:rsidRPr="00FC0FDC" w:rsidRDefault="3B047B1B" w:rsidP="00FC0FDC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lastRenderedPageBreak/>
        <w:t xml:space="preserve">The role of the 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posterior cruciate ligament (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>PCL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)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is to prevent posterior translation of the tibia relative to the femur. A blow to the anterior tibia, such as falling directly on a bent knee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,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is a common mechanism of injury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.</w:t>
      </w:r>
    </w:p>
    <w:p w14:paraId="348C5653" w14:textId="65244AD2" w:rsidR="3B047B1B" w:rsidRPr="00FC0FDC" w:rsidRDefault="391004B2" w:rsidP="00FC0FDC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The role of the tibiofibular ligaments is to provide stability to the ankle and prevent motion of the tibia and fibula. A common mechanism of injury for these ligaments is forced </w:t>
      </w:r>
      <w:proofErr w:type="spellStart"/>
      <w:r w:rsidRPr="00FC0FDC">
        <w:rPr>
          <w:rFonts w:ascii="Aptos" w:eastAsia="Aptos" w:hAnsi="Aptos" w:cs="Aptos"/>
          <w:color w:val="000000"/>
          <w:sz w:val="24"/>
          <w:szCs w:val="24"/>
        </w:rPr>
        <w:t>hyperdorsiflexion</w:t>
      </w:r>
      <w:proofErr w:type="spellEnd"/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with or without external rotation.</w:t>
      </w:r>
    </w:p>
    <w:p w14:paraId="39462C2C" w14:textId="76B4DD53" w:rsidR="3B047B1B" w:rsidRPr="00A445A7" w:rsidRDefault="009E12B0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/>
      </w:r>
      <w:proofErr w:type="spellStart"/>
      <w:r w:rsidRPr="00A445A7">
        <w:rPr>
          <w:rFonts w:ascii="Aptos" w:eastAsia="Aptos" w:hAnsi="Aptos" w:cs="Aptos"/>
          <w:color w:val="000000"/>
          <w:sz w:val="24"/>
          <w:szCs w:val="24"/>
        </w:rPr>
        <w:t>Presimulation</w:t>
      </w:r>
      <w:proofErr w:type="spellEnd"/>
      <w:r w:rsidRPr="00A445A7">
        <w:rPr>
          <w:rFonts w:ascii="Aptos" w:eastAsia="Aptos" w:hAnsi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4</w:t>
      </w:r>
      <w:r>
        <w:rPr>
          <w:rFonts w:ascii="Aptos" w:eastAsia="Aptos" w:hAnsi="Aptos" w:cs="Aptos"/>
          <w:color w:val="000000"/>
          <w:sz w:val="24"/>
          <w:szCs w:val="24"/>
        </w:rPr>
        <w:t>: Special Test Understandings</w:t>
      </w:r>
    </w:p>
    <w:p w14:paraId="1D499E19" w14:textId="3C574344" w:rsidR="3B047B1B" w:rsidRPr="00FC0FDC" w:rsidRDefault="3B047B1B" w:rsidP="00FC0FDC">
      <w:pPr>
        <w:pStyle w:val="ListParagraph"/>
        <w:numPr>
          <w:ilvl w:val="0"/>
          <w:numId w:val="1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The Thompson test has 100</w:t>
      </w:r>
      <w:r w:rsidR="005B00CC" w:rsidRPr="00FC0FDC">
        <w:rPr>
          <w:rFonts w:ascii="Aptos" w:eastAsia="Aptos" w:hAnsi="Aptos" w:cs="Aptos"/>
          <w:color w:val="000000"/>
          <w:sz w:val="24"/>
          <w:szCs w:val="24"/>
        </w:rPr>
        <w:t xml:space="preserve"> percent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sensitivity and specificity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,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which tells us this test is highly reliable at identifying true positive and true negative findings.</w:t>
      </w:r>
    </w:p>
    <w:p w14:paraId="274022AE" w14:textId="719F0321" w:rsidR="3B047B1B" w:rsidRPr="00FC0FDC" w:rsidRDefault="3B047B1B" w:rsidP="00FC0FDC">
      <w:pPr>
        <w:pStyle w:val="ListParagraph"/>
        <w:numPr>
          <w:ilvl w:val="0"/>
          <w:numId w:val="11"/>
        </w:numPr>
        <w:spacing w:after="0" w:line="480" w:lineRule="auto"/>
        <w:rPr>
          <w:rFonts w:ascii="Times New Roman" w:hAnsi="Times New Roman" w:cs="Times New Roman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The meniscus special test with the highest sensitivity is the Thessaly test.</w:t>
      </w:r>
      <w:r w:rsidR="00DD4976" w:rsidRPr="00FC0FDC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7436C2F3" w:rsidRPr="00FC0FDC">
        <w:rPr>
          <w:rFonts w:ascii="Aptos" w:hAnsi="Aptos" w:cs="Aptos" w:eastAsia="Aptos"/>
        </w:rPr>
        <w:t>The ACL special test with the highest sensitivity is the Lachman’s test.</w:t>
      </w:r>
    </w:p>
    <w:p w14:paraId="55B49159" w14:textId="11E0C795" w:rsidR="7436C2F3" w:rsidRPr="00FC0FDC" w:rsidRDefault="391004B2" w:rsidP="00FC0FDC">
      <w:pPr>
        <w:pStyle w:val="ListParagraph"/>
        <w:numPr>
          <w:ilvl w:val="0"/>
          <w:numId w:val="1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When differentiating between an osteochondral lesion, iliotibial band compression syndrome, and a lateral meniscal tear, consider the mechanism of inj</w:t>
      </w:r>
      <w:r w:rsidR="00A94E20" w:rsidRPr="00FC0FDC">
        <w:rPr>
          <w:rFonts w:ascii="Aptos" w:eastAsia="Aptos" w:hAnsi="Aptos" w:cs="Aptos"/>
          <w:color w:val="000000"/>
          <w:sz w:val="24"/>
          <w:szCs w:val="24"/>
        </w:rPr>
        <w:t>ur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>y, the location and type of pain, and the onset of the injury.</w:t>
      </w:r>
    </w:p>
    <w:p w14:paraId="7FE327A9" w14:textId="093BAB8C" w:rsidR="391004B2" w:rsidRPr="00FC0FDC" w:rsidRDefault="391004B2" w:rsidP="00FC0FDC">
      <w:pPr>
        <w:pStyle w:val="ListParagraph"/>
        <w:numPr>
          <w:ilvl w:val="0"/>
          <w:numId w:val="1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With a partner, practice and list the special tests for the following pathologies:</w:t>
      </w:r>
    </w:p>
    <w:p w14:paraId="7B084826" w14:textId="139BB4B6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Lateral ankle sprain: Anterior drawer test, talar tilt (inversion)</w:t>
      </w:r>
    </w:p>
    <w:p w14:paraId="25CB46A5" w14:textId="6D8F5D82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Medial ankle sprain: Talar tilt (eversion), </w:t>
      </w:r>
      <w:proofErr w:type="spellStart"/>
      <w:r w:rsidRPr="00FC0FDC">
        <w:rPr>
          <w:rFonts w:ascii="Aptos" w:eastAsia="Aptos" w:hAnsi="Aptos" w:cs="Aptos"/>
          <w:color w:val="000000"/>
          <w:sz w:val="24"/>
          <w:szCs w:val="24"/>
        </w:rPr>
        <w:t>Kleiger’s</w:t>
      </w:r>
      <w:proofErr w:type="spellEnd"/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test</w:t>
      </w:r>
    </w:p>
    <w:p w14:paraId="18EB1846" w14:textId="7ABC4D88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High ankle sprain: </w:t>
      </w:r>
      <w:proofErr w:type="spellStart"/>
      <w:r w:rsidRPr="00FC0FDC">
        <w:rPr>
          <w:rFonts w:ascii="Aptos" w:eastAsia="Aptos" w:hAnsi="Aptos" w:cs="Aptos"/>
          <w:color w:val="000000"/>
          <w:sz w:val="24"/>
          <w:szCs w:val="24"/>
        </w:rPr>
        <w:t>Kleiger’s</w:t>
      </w:r>
      <w:proofErr w:type="spellEnd"/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 test, squeeze test, 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C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>otton test</w:t>
      </w:r>
    </w:p>
    <w:p w14:paraId="0ECFC98C" w14:textId="5DEFD588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Achilles tendon rupture: Thompson test</w:t>
      </w:r>
    </w:p>
    <w:p w14:paraId="0DC7C2C5" w14:textId="610BF50C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ACL sprain: Lachman test, </w:t>
      </w:r>
      <w:r w:rsidR="00F80F22" w:rsidRPr="00FC0FDC">
        <w:rPr>
          <w:rFonts w:ascii="Aptos" w:eastAsia="Aptos" w:hAnsi="Aptos" w:cs="Aptos"/>
          <w:color w:val="000000"/>
          <w:sz w:val="24"/>
          <w:szCs w:val="24"/>
        </w:rPr>
        <w:t>a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nterior drawer, </w:t>
      </w:r>
      <w:r w:rsidR="00F80F22" w:rsidRPr="00FC0FDC">
        <w:rPr>
          <w:rFonts w:ascii="Aptos" w:eastAsia="Aptos" w:hAnsi="Aptos" w:cs="Aptos"/>
          <w:color w:val="000000"/>
          <w:sz w:val="24"/>
          <w:szCs w:val="24"/>
        </w:rPr>
        <w:t>p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>ivot shift</w:t>
      </w:r>
    </w:p>
    <w:p w14:paraId="4BECEBB3" w14:textId="70030939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LCL sprain: Varus stress test</w:t>
      </w:r>
    </w:p>
    <w:p w14:paraId="1111A9AB" w14:textId="5D41449B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>MCL sprain: Valgus stress test</w:t>
      </w:r>
    </w:p>
    <w:p w14:paraId="0531F0A3" w14:textId="6D82DEDE" w:rsidR="391004B2" w:rsidRPr="00FC0FDC" w:rsidRDefault="391004B2" w:rsidP="00FC0FDC">
      <w:pPr>
        <w:pStyle w:val="ListParagraph"/>
        <w:numPr>
          <w:ilvl w:val="0"/>
          <w:numId w:val="12"/>
        </w:numPr>
        <w:spacing w:after="0" w:line="480" w:lineRule="auto"/>
        <w:ind w:left="10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C0FDC">
        <w:rPr>
          <w:rFonts w:ascii="Aptos" w:eastAsia="Aptos" w:hAnsi="Aptos" w:cs="Aptos"/>
          <w:color w:val="000000"/>
          <w:sz w:val="24"/>
          <w:szCs w:val="24"/>
        </w:rPr>
        <w:t xml:space="preserve">Meniscal tear: Thessaly test, </w:t>
      </w:r>
      <w:r w:rsidR="007C116C" w:rsidRPr="00FC0FDC">
        <w:rPr>
          <w:rFonts w:ascii="Aptos" w:eastAsia="Aptos" w:hAnsi="Aptos" w:cs="Aptos"/>
          <w:color w:val="000000"/>
          <w:sz w:val="24"/>
          <w:szCs w:val="24"/>
        </w:rPr>
        <w:t>McMurray test</w:t>
      </w:r>
      <w:r w:rsidRPr="00FC0FDC">
        <w:rPr>
          <w:rFonts w:ascii="Aptos" w:eastAsia="Aptos" w:hAnsi="Aptos" w:cs="Aptos"/>
          <w:color w:val="000000"/>
          <w:sz w:val="24"/>
          <w:szCs w:val="24"/>
        </w:rPr>
        <w:t>, Apley’s compression and distraction</w:t>
      </w:r>
    </w:p>
    <w:p w14:paraId="72D9B59C" w14:textId="577071D3" w:rsidR="008D56D0" w:rsidRPr="00A445A7" w:rsidRDefault="009E12B0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/>
      </w:r>
      <w:proofErr w:type="spellStart"/>
      <w:r w:rsidRPr="00A445A7">
        <w:rPr>
          <w:rFonts w:ascii="Aptos" w:eastAsia="Aptos" w:hAnsi="Aptos" w:cs="Aptos"/>
          <w:color w:val="000000"/>
          <w:sz w:val="24"/>
          <w:szCs w:val="24"/>
        </w:rPr>
        <w:t>Presimulation</w:t>
      </w:r>
      <w:proofErr w:type="spellEnd"/>
      <w:r w:rsidRPr="00A445A7">
        <w:rPr>
          <w:rFonts w:ascii="Aptos" w:eastAsia="Aptos" w:hAnsi="Aptos" w:cs="Aptos"/>
          <w:color w:val="000000"/>
          <w:sz w:val="24"/>
          <w:szCs w:val="24"/>
        </w:rPr>
        <w:t xml:space="preserve"> Activity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5</w:t>
      </w:r>
      <w:r>
        <w:rPr>
          <w:rFonts w:ascii="Aptos" w:eastAsia="Aptos" w:hAnsi="Aptos" w:cs="Aptos"/>
          <w:color w:val="000000"/>
          <w:sz w:val="24"/>
          <w:szCs w:val="24"/>
        </w:rPr>
        <w:t>: Special Test Selection</w:t>
      </w:r>
    </w:p>
    <w:p w14:paraId="18A8D809" w14:textId="50ACECF3" w:rsidR="675A44B3" w:rsidRPr="00A445A7" w:rsidRDefault="400DB9FC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24"/>
          <w:szCs w:val="24"/>
        </w:rPr>
        <w:t xml:space="preserve">Students are required to complete this activity and should submit </w:t>
      </w:r>
      <w:r w:rsidR="007C116C">
        <w:rPr>
          <w:rFonts w:ascii="Aptos" w:eastAsia="Aptos" w:hAnsi="Aptos" w:cs="Aptos"/>
          <w:color w:val="000000"/>
          <w:sz w:val="24"/>
          <w:szCs w:val="24"/>
        </w:rPr>
        <w:t xml:space="preserve">the following </w:t>
      </w:r>
      <w:r>
        <w:rPr>
          <w:rFonts w:ascii="Aptos" w:eastAsia="Aptos" w:hAnsi="Aptos" w:cs="Aptos"/>
          <w:color w:val="000000"/>
          <w:sz w:val="24"/>
          <w:szCs w:val="24"/>
        </w:rPr>
        <w:t>to the instructor</w:t>
      </w:r>
      <w:r w:rsidR="007C116C">
        <w:rPr>
          <w:rFonts w:ascii="Aptos" w:eastAsia="Aptos" w:hAnsi="Aptos" w:cs="Aptos"/>
          <w:color w:val="000000"/>
          <w:sz w:val="24"/>
          <w:szCs w:val="24"/>
        </w:rPr>
        <w:t>: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special tests appropriate for the situation, how to perform the special test and any appropriate variations, and appropriate next steps or referrals with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two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references cited. Students should also have </w:t>
      </w:r>
      <w:r w:rsidRPr="00857B4E">
        <w:rPr>
          <w:rFonts w:ascii="Aptos" w:eastAsia="Aptos" w:hAnsi="Aptos" w:cs="Aptos"/>
          <w:color w:val="000000"/>
          <w:sz w:val="24"/>
          <w:szCs w:val="24"/>
        </w:rPr>
        <w:t>four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questions written down to ask HCPs.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