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mc="http://schemas.openxmlformats.org/markup-compatibility/2006" xmlns:r="http://schemas.openxmlformats.org/officeDocument/2006/relationships" xmlns:w="http://schemas.openxmlformats.org/wordprocessingml/2006/main" mc:Ignorable="w14 wp14">
  <w:body>
    <w:p>
      <w:pPr>
        <w:pStyle w:val="Heading1"/>
      </w:pPr>
      <w:r>
        <w:rPr>
          <w:rFonts w:ascii="Aptos" w:hAnsi="Aptos" w:eastAsia="Aptos" w:cs="Aptos"/>
          <w:sz w:val="40"/>
          <w:szCs w:val="40"/>
        </w:rPr>
        <w:t>Copyright</w:t>
      </w:r>
    </w:p>
    <w:p>
      <w:r>
        <w:rPr>
          <w:rFonts w:ascii="Aptos" w:hAnsi="Aptos" w:eastAsia="Aptos" w:cs="Aptos"/>
        </w:rPr>
        <w:t>Placeholder: The final copyright-page content will be added before publication.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spacing w:line="240" w:lineRule="auto" w:before="0" w:after="0"/>
      <w:jc w:val="left"/>
    </w:pPr>
    <w:r>
      <w:rPr>
        <w:rFonts w:ascii="Aptos" w:hAnsi="Aptos" w:eastAsia="Aptos" w:cs="Aptos"/>
        <w:sz w:val="18"/>
      </w:rPr>
      <w:t xml:space="preserve">From J.M. Larson and H.L. Stedge, </w:t>
    </w:r>
    <w:r>
      <w:rPr>
        <w:rFonts w:ascii="Aptos" w:hAnsi="Aptos" w:eastAsia="Aptos" w:cs="Aptos"/>
        <w:i/>
        <w:sz w:val="18"/>
      </w:rPr>
      <w:t>Clinical Simulations for the Athletic Trainer HKPropel Access</w:t>
    </w:r>
    <w:r>
      <w:rPr>
        <w:rFonts w:ascii="Aptos" w:hAnsi="Aptos" w:eastAsia="Aptos" w:cs="Aptos"/>
        <w:sz w:val="18"/>
      </w:rPr>
      <w:t xml:space="preserve"> (Human Kinetics, 2027).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 w:eastAsia="Aptos" w:cs="Aptos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4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4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sz w:val="4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sz w:val="4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sz w:val="4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sz w:val="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4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4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Copyright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