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8423555" w14:textId="0B4ADF75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/>
      </w:r>
      <w:r w:rsidR="00DE4F3D" w:rsidRPr="00CE276A">
        <w:rPr>
          <w:rFonts w:ascii="Aptos" w:hAnsi="Aptos" w:cs="Aptos" w:eastAsia="Aptos"/>
          <w:color w:val="000000"/>
          <w:sz w:val="40"/>
          <w:szCs w:val="40"/>
        </w:rPr>
        <w:t>Postsimulation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Activity 3</w:t>
      </w:r>
      <w:r w:rsidR="00C84E6C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Self-</w:t>
      </w:r>
      <w:r>
        <w:rPr>
          <w:rFonts w:ascii="Aptos" w:hAnsi="Aptos" w:cs="Aptos" w:eastAsia="Aptos"/>
          <w:color w:val="000000"/>
          <w:sz w:val="40"/>
          <w:szCs w:val="40"/>
        </w:rPr>
        <w:t>A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>ssessment</w:t>
      </w:r>
    </w:p>
    <w:p w14:paraId="3A4F9802" w14:textId="7750755F" w:rsidR="00D75AC8" w:rsidRPr="00CE276A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If you did not complete the self-assessment rubric as part of class, please complete the rubric.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3: Self-Assessment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