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5DF98" w14:textId="08736222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B54B14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2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Anatomy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 xml:space="preserve"> Labeling</w:t>
      </w:r>
    </w:p>
    <w:p w14:paraId="68121D8E" w14:textId="073E575A" w:rsidR="00882381" w:rsidRPr="00DF03C7" w:rsidRDefault="0088238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3C3E2A3" w14:textId="7424FA1C" w:rsidR="00AF186C" w:rsidRPr="00DF03C7" w:rsidRDefault="009221D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hAnsi="Aptos" w:cs="Aptos" w:eastAsia="Aptos"/>
          <w:color w:val="000000"/>
          <w:sz w:val="24"/>
          <w:szCs w:val="24"/>
        </w:rPr>
        <w:t>In the figure shown here, label the following bones and ligaments:</w:t>
      </w:r>
    </w:p>
    <w:p w14:paraId="2766927D" w14:textId="041DA35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Fibula</w:t>
      </w:r>
    </w:p>
    <w:p w14:paraId="250E8314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Fifth metatarsal </w:t>
      </w:r>
    </w:p>
    <w:p w14:paraId="38C75C8D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Anterior talofibular ligament </w:t>
      </w:r>
    </w:p>
    <w:p w14:paraId="53364F3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 xml:space="preserve">Calcaneofibular ligament </w:t>
      </w:r>
    </w:p>
    <w:p w14:paraId="658A8B9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Posterior talofibular ligament</w:t>
      </w:r>
    </w:p>
    <w:p w14:paraId="2A67F9B3" w14:textId="5265DD6D" w:rsidR="009221D9" w:rsidRPr="00F75F8E" w:rsidRDefault="00882381" w:rsidP="00F75F8E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4199362"/>
            <wp:docPr id="1" name="Picture 1" descr="Unlabeled lateral ankle diagram with leader lines for identifying the fibula, fifth metatarsal, anterior talofibular ligament, calcaneofibular ligament, and posterior talofibular liga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63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93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E5FD56" w14:textId="26D12DF7" w:rsidR="004C2459" w:rsidRDefault="004C245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</w:t>
      </w:r>
      <w:r w:rsidR="00FC305B"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IGURE</w:t>
      </w: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 xml:space="preserve"> 1.1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Ankle bones and ligaments.</w:t>
      </w:r>
    </w:p>
    <w:p w14:paraId="77C73A1B" w14:textId="4CCF5B3A" w:rsidR="00462021" w:rsidRPr="00F75F8E" w:rsidRDefault="0046202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commentRangeStart w:id="1"/>
      <w:r w:rsidRPr="00470504">
        <w:rPr>
          <w:rFonts w:ascii="Aptos" w:hAnsi="Aptos" w:cs="Aptos" w:eastAsia="Aptos"/>
          <w:color w:val="000000"/>
          <w:sz w:val="20"/>
          <w:szCs w:val="20"/>
        </w:rPr>
        <w:t>Adapted by permission from K.T. Ebersole and D.T. Beine, "Clients With Orthopedic,</w:t>
      </w:r>
      <w:r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 xml:space="preserve">Injury, and Rehabilitation Concerns," in </w:t>
      </w:r>
      <w:r w:rsidRPr="00470504">
        <w:rPr>
          <w:rFonts w:ascii="Aptos" w:hAnsi="Aptos" w:cs="Aptos" w:eastAsia="Aptos"/>
          <w:i/>
          <w:iCs/>
          <w:color w:val="000000"/>
          <w:sz w:val="20"/>
          <w:szCs w:val="20"/>
        </w:rPr>
        <w:t>NSCA's Essentials of Personal Training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 xml:space="preserve">, 2nd ed., edited for the National Strength and Conditioning Association by J.W. Coburn and M.H. Malek (Human Kinetics, 2012). Reprinted by permission from J.A. Watkins, </w:t>
      </w:r>
      <w:r w:rsidRPr="00470504">
        <w:rPr>
          <w:rFonts w:ascii="Aptos" w:hAnsi="Aptos" w:cs="Aptos" w:eastAsia="Aptos"/>
          <w:i/>
          <w:iCs/>
          <w:color w:val="000000"/>
          <w:sz w:val="20"/>
          <w:szCs w:val="20"/>
        </w:rPr>
        <w:t>Structure and Function of the Musculoskeletal System</w:t>
      </w:r>
      <w:r w:rsidRPr="00470504">
        <w:rPr>
          <w:rFonts w:ascii="Aptos" w:hAnsi="Aptos" w:cs="Aptos" w:eastAsia="Aptos"/>
          <w:color w:val="000000"/>
          <w:sz w:val="20"/>
          <w:szCs w:val="20"/>
        </w:rPr>
        <w:t>, 2nd ed. (Human Kinetics, 2010).</w:t>
      </w:r>
      <w:commentRangeEnd w:id="1"/>
      <w:r w:rsidR="00381D7A" w:rsidRPr="00F75F8E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1"/>
      </w:r>
    </w:p>
    <w:sectPr w:rsidR="00270677" w:rsidRPr="00DF03C7" w:rsidSect="00DF03C7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Anatomy Labeling</dc:title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