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23555" w14:textId="0B4ADF75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3</w:t>
      </w:r>
      <w:r w:rsidR="00C84E6C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Self-</w:t>
      </w:r>
      <w:r>
        <w:rPr>
          <w:rFonts w:ascii="Aptos" w:hAnsi="Aptos" w:cs="Aptos" w:eastAsia="Aptos"/>
          <w:color w:val="000000"/>
          <w:sz w:val="40"/>
          <w:szCs w:val="40"/>
        </w:rPr>
        <w:t>A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>ssessment</w:t>
      </w:r>
    </w:p>
    <w:p w14:paraId="3A4F9802" w14:textId="7750755F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If you did not complete the self-assessment rubric as part of class, please complete the rubric.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3: Self-Assessment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