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McPherson Flash Cards WCAG 2 2 Audit Summary</w:t>
      </w:r>
    </w:p>
    <w:p>
      <w:pPr>
        <w:spacing w:after="280"/>
      </w:pPr>
      <w:r>
        <w:rPr>
          <w:rFonts w:ascii="Arial" w:hAnsi="Arial"/>
          <w:color w:val="4A5663"/>
          <w:sz w:val="21"/>
        </w:rPr>
        <w:t>Assessment date  September 4 2026</w:t>
      </w:r>
    </w:p>
    <w:p>
      <w:pPr>
        <w:pStyle w:val="Heading1"/>
      </w:pPr>
      <w:r>
        <w:t>Executive Summary</w:t>
      </w:r>
    </w:p>
    <w:p>
      <w:r>
        <w:t>The current McPherson Flash Cards application demonstrates substantial alignment with WCAG 2.2 Level AA. Recent changes corrected keyboard focus after dynamic updates, raised normal-text contrast above 4.5 to 1, and raised focus and control-boundary contrast above 3 to 1. The Chrome browser smoke test passed after these changes.</w:t>
      </w:r>
    </w:p>
    <w:p>
      <w:r>
        <w:rPr>
          <w:b/>
        </w:rPr>
        <w:t xml:space="preserve">Current conclusion  </w:t>
      </w:r>
      <w:r>
        <w:t>The application should not yet make a full WCAG 2.2 Level AA conformance claim. The anatomy artwork still lacks a nonvisual equivalent sufficient to complete the learning activities, which does not meet Success Criterion 1.1.1. Several criteria also require manual testing with assistive technologies and browser zoom.</w:t>
      </w:r>
    </w:p>
    <w:p>
      <w:pPr>
        <w:pStyle w:val="Heading1"/>
      </w:pPr>
      <w:r>
        <w:t>Audit Scope and Method</w:t>
      </w:r>
    </w:p>
    <w:p>
      <w:r>
        <w:t>The audit covered the learner-facing static web application and all 244 cards. Evidence included review of index.html, app.js, styles.css, data/cards.js, and tests/smoke.html; computed color-contrast measurements; inspection of keyboard event and focus-management logic; and a Chrome browser smoke test at desktop and 390 CSS pixel widths.</w:t>
      </w:r>
    </w:p>
    <w:p>
      <w:r>
        <w:t>This summary records criteria supported by the available evidence. It is not a legal certification. Criteria that depend on user experience across assistive technology, text customization, or 400 percent zoom remain open until manual testing is completed.</w:t>
      </w:r>
    </w:p>
    <w:p>
      <w:pPr>
        <w:pStyle w:val="Heading1"/>
      </w:pPr>
      <w:r>
        <w:t>Results by Status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1900"/>
            <w:shd w:fill="16324F"/>
            <w:vAlign w:val="center"/>
          </w:tcPr>
          <w:p>
            <w:pPr>
              <w:spacing w:before="40" w:after="40" w:line="252" w:lineRule="auto"/>
              <w:jc w:val="center"/>
            </w:pPr>
            <w:r>
              <w:rPr>
                <w:rFonts w:ascii="Arial" w:hAnsi="Arial"/>
                <w:b/>
                <w:color w:val="FFFFFF"/>
                <w:sz w:val="21"/>
              </w:rPr>
              <w:t>Status</w:t>
            </w:r>
          </w:p>
        </w:tc>
        <w:tc>
          <w:tcPr>
            <w:tcW w:type="dxa" w:w="900"/>
            <w:shd w:fill="16324F"/>
            <w:vAlign w:val="center"/>
          </w:tcPr>
          <w:p>
            <w:pPr>
              <w:spacing w:before="40" w:after="40" w:line="252" w:lineRule="auto"/>
              <w:jc w:val="center"/>
            </w:pPr>
            <w:r>
              <w:rPr>
                <w:rFonts w:ascii="Arial" w:hAnsi="Arial"/>
                <w:b/>
                <w:color w:val="FFFFFF"/>
                <w:sz w:val="21"/>
              </w:rPr>
              <w:t>Count</w:t>
            </w:r>
          </w:p>
        </w:tc>
        <w:tc>
          <w:tcPr>
            <w:tcW w:type="dxa" w:w="4860"/>
            <w:shd w:fill="16324F"/>
            <w:vAlign w:val="center"/>
          </w:tcPr>
          <w:p>
            <w:pPr>
              <w:spacing w:before="40" w:after="40" w:line="252" w:lineRule="auto"/>
              <w:jc w:val="center"/>
            </w:pPr>
            <w:r>
              <w:rPr>
                <w:rFonts w:ascii="Arial" w:hAnsi="Arial"/>
                <w:b/>
                <w:color w:val="FFFFFF"/>
                <w:sz w:val="21"/>
              </w:rPr>
              <w:t>Meaning</w:t>
            </w:r>
          </w:p>
        </w:tc>
      </w:tr>
      <w:tr>
        <w:trPr>
          <w:cantSplit/>
        </w:trPr>
        <w:tc>
          <w:tcPr>
            <w:tcW w:type="dxa" w:w="1900"/>
            <w:vAlign w:val="center"/>
          </w:tcPr>
          <w:p>
            <w:pPr>
              <w:spacing w:before="40" w:after="40" w:line="252" w:lineRule="auto"/>
              <w:jc w:val="left"/>
            </w:pPr>
            <w:r>
              <w:rPr>
                <w:rFonts w:ascii="Arial" w:hAnsi="Arial"/>
                <w:b/>
                <w:color w:val="172331"/>
                <w:sz w:val="21"/>
              </w:rPr>
              <w:t>Observed to meet</w:t>
            </w:r>
          </w:p>
        </w:tc>
        <w:tc>
          <w:tcPr>
            <w:tcW w:type="dxa" w:w="900"/>
            <w:vAlign w:val="center"/>
          </w:tcPr>
          <w:p>
            <w:pPr>
              <w:spacing w:before="40" w:after="40" w:line="252" w:lineRule="auto"/>
              <w:jc w:val="center"/>
            </w:pPr>
            <w:r>
              <w:rPr>
                <w:rFonts w:ascii="Arial" w:hAnsi="Arial"/>
                <w:b w:val="0"/>
                <w:color w:val="172331"/>
                <w:sz w:val="21"/>
              </w:rPr>
              <w:t>30</w:t>
            </w:r>
          </w:p>
        </w:tc>
        <w:tc>
          <w:tcPr>
            <w:tcW w:type="dxa" w:w="4860"/>
            <w:vAlign w:val="center"/>
          </w:tcPr>
          <w:p>
            <w:pPr>
              <w:spacing w:before="40" w:after="40" w:line="252" w:lineRule="auto"/>
              <w:jc w:val="left"/>
            </w:pPr>
            <w:r>
              <w:rPr>
                <w:rFonts w:ascii="Arial" w:hAnsi="Arial"/>
                <w:b w:val="0"/>
                <w:color w:val="172331"/>
                <w:sz w:val="21"/>
              </w:rPr>
              <w:t>Supported by source inspection and browser regression checks</w:t>
            </w:r>
          </w:p>
        </w:tc>
      </w:tr>
      <w:tr>
        <w:trPr>
          <w:cantSplit/>
        </w:trPr>
        <w:tc>
          <w:tcPr>
            <w:tcW w:type="dxa" w:w="1900"/>
            <w:shd w:fill="EDF3F8"/>
            <w:vAlign w:val="center"/>
          </w:tcPr>
          <w:p>
            <w:pPr>
              <w:spacing w:before="40" w:after="40" w:line="252" w:lineRule="auto"/>
              <w:jc w:val="left"/>
            </w:pPr>
            <w:r>
              <w:rPr>
                <w:rFonts w:ascii="Arial" w:hAnsi="Arial"/>
                <w:b/>
                <w:color w:val="172331"/>
                <w:sz w:val="21"/>
              </w:rPr>
              <w:t>Not met</w:t>
            </w:r>
          </w:p>
        </w:tc>
        <w:tc>
          <w:tcPr>
            <w:tcW w:type="dxa" w:w="900"/>
            <w:shd w:fill="EDF3F8"/>
            <w:vAlign w:val="center"/>
          </w:tcPr>
          <w:p>
            <w:pPr>
              <w:spacing w:before="40" w:after="40" w:line="252" w:lineRule="auto"/>
              <w:jc w:val="center"/>
            </w:pPr>
            <w:r>
              <w:rPr>
                <w:rFonts w:ascii="Arial" w:hAnsi="Arial"/>
                <w:b w:val="0"/>
                <w:color w:val="172331"/>
                <w:sz w:val="21"/>
              </w:rPr>
              <w:t>1</w:t>
            </w:r>
          </w:p>
        </w:tc>
        <w:tc>
          <w:tcPr>
            <w:tcW w:type="dxa" w:w="4860"/>
            <w:shd w:fill="EDF3F8"/>
            <w:vAlign w:val="center"/>
          </w:tcPr>
          <w:p>
            <w:pPr>
              <w:spacing w:before="40" w:after="40" w:line="252" w:lineRule="auto"/>
              <w:jc w:val="left"/>
            </w:pPr>
            <w:r>
              <w:rPr>
                <w:rFonts w:ascii="Arial" w:hAnsi="Arial"/>
                <w:b w:val="0"/>
                <w:color w:val="172331"/>
                <w:sz w:val="21"/>
              </w:rPr>
              <w:t>SC 1.1.1 Non-text Content</w:t>
            </w:r>
          </w:p>
        </w:tc>
      </w:tr>
      <w:tr>
        <w:trPr>
          <w:cantSplit/>
        </w:trPr>
        <w:tc>
          <w:tcPr>
            <w:tcW w:type="dxa" w:w="1900"/>
            <w:vAlign w:val="center"/>
          </w:tcPr>
          <w:p>
            <w:pPr>
              <w:spacing w:before="40" w:after="40" w:line="252" w:lineRule="auto"/>
              <w:jc w:val="left"/>
            </w:pPr>
            <w:r>
              <w:rPr>
                <w:rFonts w:ascii="Arial" w:hAnsi="Arial"/>
                <w:b/>
                <w:color w:val="172331"/>
                <w:sz w:val="21"/>
              </w:rPr>
              <w:t>Manual verification</w:t>
            </w:r>
          </w:p>
        </w:tc>
        <w:tc>
          <w:tcPr>
            <w:tcW w:type="dxa" w:w="900"/>
            <w:vAlign w:val="center"/>
          </w:tcPr>
          <w:p>
            <w:pPr>
              <w:spacing w:before="40" w:after="40" w:line="252" w:lineRule="auto"/>
              <w:jc w:val="center"/>
            </w:pPr>
            <w:r>
              <w:rPr>
                <w:rFonts w:ascii="Arial" w:hAnsi="Arial"/>
                <w:b w:val="0"/>
                <w:color w:val="172331"/>
                <w:sz w:val="21"/>
              </w:rPr>
              <w:t>4</w:t>
            </w:r>
          </w:p>
        </w:tc>
        <w:tc>
          <w:tcPr>
            <w:tcW w:type="dxa" w:w="4860"/>
            <w:vAlign w:val="center"/>
          </w:tcPr>
          <w:p>
            <w:pPr>
              <w:spacing w:before="40" w:after="40" w:line="252" w:lineRule="auto"/>
              <w:jc w:val="left"/>
            </w:pPr>
            <w:r>
              <w:rPr>
                <w:rFonts w:ascii="Arial" w:hAnsi="Arial"/>
                <w:b w:val="0"/>
                <w:color w:val="172331"/>
                <w:sz w:val="21"/>
              </w:rPr>
              <w:t>Resize, reflow, text spacing, and focus visibility in target environments</w:t>
            </w:r>
          </w:p>
        </w:tc>
      </w:tr>
    </w:tbl>
    <w:p/>
    <w:p>
      <w:pPr>
        <w:pStyle w:val="Heading1"/>
      </w:pPr>
      <w:r>
        <w:t>Standards Not Met</w:t>
      </w:r>
    </w:p>
    <w:p>
      <w:pPr>
        <w:pStyle w:val="ListBullet"/>
        <w:spacing w:after="60"/>
      </w:pPr>
      <w:r>
        <w:rPr>
          <w:b/>
        </w:rPr>
        <w:t xml:space="preserve">SC 1.1.1 Non-text Content </w:t>
      </w:r>
      <w:r>
        <w:t>Not met. All 244 cards use generic alternative text for anatomy artwork. The 50 drag-and-drop cards depend on visual callout locations, and the 167 select-all cards require identification from an image. A screen-reader learner does not receive an equivalent way to obtain the spatial or identifying information needed to answer. Add structured descriptions or an equivalent nonvisual assessment mode that preserves the learning objective without simply revealing the answer.</w:t>
      </w:r>
    </w:p>
    <w:p>
      <w:pPr>
        <w:pStyle w:val="Heading1"/>
      </w:pPr>
      <w:r>
        <w:t>Standards Observed to Meet</w:t>
      </w:r>
    </w:p>
    <w:p>
      <w:pPr>
        <w:pStyle w:val="Heading2"/>
      </w:pPr>
      <w:r>
        <w:t>Perceivable</w:t>
      </w:r>
    </w:p>
    <w:p>
      <w:pPr>
        <w:pStyle w:val="ListBullet"/>
        <w:spacing w:after="60"/>
      </w:pPr>
      <w:r>
        <w:rPr>
          <w:b/>
        </w:rPr>
        <w:t xml:space="preserve">SC 1.3.1 Info and Relationships </w:t>
      </w:r>
      <w:r>
        <w:t>Semantic headings, landmarks, labels, fieldsets, legends, lists, and status roles communicate structure programmatically.</w:t>
      </w:r>
    </w:p>
    <w:p>
      <w:pPr>
        <w:pStyle w:val="ListBullet"/>
        <w:spacing w:after="60"/>
      </w:pPr>
      <w:r>
        <w:rPr>
          <w:b/>
        </w:rPr>
        <w:t xml:space="preserve">SC 1.3.2 Meaningful Sequence </w:t>
      </w:r>
      <w:r>
        <w:t>The DOM reading order follows the visual sequence from filters to the current card, response controls, feedback, navigation, and study stack.</w:t>
      </w:r>
    </w:p>
    <w:p>
      <w:pPr>
        <w:pStyle w:val="ListBullet"/>
        <w:spacing w:after="60"/>
      </w:pPr>
      <w:r>
        <w:rPr>
          <w:b/>
        </w:rPr>
        <w:t xml:space="preserve">SC 1.3.4 Orientation </w:t>
      </w:r>
      <w:r>
        <w:t>The interface does not restrict display orientation.</w:t>
      </w:r>
    </w:p>
    <w:p>
      <w:pPr>
        <w:pStyle w:val="ListBullet"/>
        <w:spacing w:after="60"/>
      </w:pPr>
      <w:r>
        <w:rPr>
          <w:b/>
        </w:rPr>
        <w:t xml:space="preserve">SC 1.4.1 Use of Color </w:t>
      </w:r>
      <w:r>
        <w:t>Correct, incorrect, missed, and status states include text in addition to color.</w:t>
      </w:r>
    </w:p>
    <w:p>
      <w:pPr>
        <w:pStyle w:val="ListBullet"/>
        <w:spacing w:after="60"/>
      </w:pPr>
      <w:r>
        <w:rPr>
          <w:b/>
        </w:rPr>
        <w:t xml:space="preserve">SC 1.4.3 Contrast Minimum </w:t>
      </w:r>
      <w:r>
        <w:t>Corrected section metadata measures 4.90 to 1 for Section 2, 4.77 to 1 for Section 3, and 5.04 to 1 for Section 6.</w:t>
      </w:r>
    </w:p>
    <w:p>
      <w:pPr>
        <w:pStyle w:val="ListBullet"/>
        <w:spacing w:after="60"/>
      </w:pPr>
      <w:r>
        <w:rPr>
          <w:b/>
        </w:rPr>
        <w:t xml:space="preserve">SC 1.4.11 Non-text Contrast </w:t>
      </w:r>
      <w:r>
        <w:t>Control boundaries measure 3.85 to 1 and the focus indicator measures 4.93 to 1 against white.</w:t>
      </w:r>
    </w:p>
    <w:p>
      <w:pPr>
        <w:pStyle w:val="Heading2"/>
      </w:pPr>
      <w:r>
        <w:t>Operable</w:t>
      </w:r>
    </w:p>
    <w:p>
      <w:pPr>
        <w:pStyle w:val="ListBullet"/>
        <w:spacing w:after="60"/>
      </w:pPr>
      <w:r>
        <w:rPr>
          <w:b/>
        </w:rPr>
        <w:t xml:space="preserve">SC 2.1.1 Keyboard </w:t>
      </w:r>
      <w:r>
        <w:t>Native buttons, inputs, checkboxes, and selects support keyboard operation. Drag-and-drop cards also provide a select-then-place keyboard workflow.</w:t>
      </w:r>
    </w:p>
    <w:p>
      <w:pPr>
        <w:pStyle w:val="ListBullet"/>
        <w:spacing w:after="60"/>
      </w:pPr>
      <w:r>
        <w:rPr>
          <w:b/>
        </w:rPr>
        <w:t xml:space="preserve">SC 2.1.2 No Keyboard Trap </w:t>
      </w:r>
      <w:r>
        <w:t>No custom component traps keyboard focus; the native modal dialog can be dismissed.</w:t>
      </w:r>
    </w:p>
    <w:p>
      <w:pPr>
        <w:pStyle w:val="ListBullet"/>
        <w:spacing w:after="60"/>
      </w:pPr>
      <w:r>
        <w:rPr>
          <w:b/>
        </w:rPr>
        <w:t xml:space="preserve">SC 2.3.1 Three Flashes or Below Threshold </w:t>
      </w:r>
      <w:r>
        <w:t>The interface contains no flashing content.</w:t>
      </w:r>
    </w:p>
    <w:p>
      <w:pPr>
        <w:pStyle w:val="ListBullet"/>
        <w:spacing w:after="60"/>
      </w:pPr>
      <w:r>
        <w:rPr>
          <w:b/>
        </w:rPr>
        <w:t xml:space="preserve">SC 2.4.1 Bypass Blocks </w:t>
      </w:r>
      <w:r>
        <w:t>A skip link moves focus to the current card.</w:t>
      </w:r>
    </w:p>
    <w:p>
      <w:pPr>
        <w:pStyle w:val="ListBullet"/>
        <w:spacing w:after="60"/>
      </w:pPr>
      <w:r>
        <w:rPr>
          <w:b/>
        </w:rPr>
        <w:t xml:space="preserve">SC 2.4.2 Page Titled </w:t>
      </w:r>
      <w:r>
        <w:t>The page has a descriptive title.</w:t>
      </w:r>
    </w:p>
    <w:p>
      <w:pPr>
        <w:pStyle w:val="ListBullet"/>
        <w:spacing w:after="60"/>
      </w:pPr>
      <w:r>
        <w:rPr>
          <w:b/>
        </w:rPr>
        <w:t xml:space="preserve">SC 2.4.3 Focus Order </w:t>
      </w:r>
      <w:r>
        <w:t>Focus is restored after section filtering, drag selection and placement, grading, response clearing, and study-stack updates.</w:t>
      </w:r>
    </w:p>
    <w:p>
      <w:pPr>
        <w:pStyle w:val="ListBullet"/>
        <w:spacing w:after="60"/>
      </w:pPr>
      <w:r>
        <w:rPr>
          <w:b/>
        </w:rPr>
        <w:t xml:space="preserve">SC 2.4.6 Headings and Labels </w:t>
      </w:r>
      <w:r>
        <w:t>Section headings, card headings, field labels, legends, and control names describe their topics or purposes.</w:t>
      </w:r>
    </w:p>
    <w:p>
      <w:pPr>
        <w:pStyle w:val="ListBullet"/>
        <w:spacing w:after="60"/>
      </w:pPr>
      <w:r>
        <w:rPr>
          <w:b/>
        </w:rPr>
        <w:t xml:space="preserve">SC 2.4.7 Focus Visible </w:t>
      </w:r>
      <w:r>
        <w:t>Keyboard focus uses a solid blue indicator with 4.93 to 1 contrast against white.</w:t>
      </w:r>
    </w:p>
    <w:p>
      <w:pPr>
        <w:pStyle w:val="ListBullet"/>
        <w:spacing w:after="60"/>
      </w:pPr>
      <w:r>
        <w:rPr>
          <w:b/>
        </w:rPr>
        <w:t xml:space="preserve">SC 2.5.1 Pointer Gestures </w:t>
      </w:r>
      <w:r>
        <w:t>No multipoint or path-based gesture is required.</w:t>
      </w:r>
    </w:p>
    <w:p>
      <w:pPr>
        <w:pStyle w:val="ListBullet"/>
        <w:spacing w:after="60"/>
      </w:pPr>
      <w:r>
        <w:rPr>
          <w:b/>
        </w:rPr>
        <w:t xml:space="preserve">SC 2.5.2 Pointer Cancellation </w:t>
      </w:r>
      <w:r>
        <w:t>Controls use standard click activation rather than completing actions on pointer-down.</w:t>
      </w:r>
    </w:p>
    <w:p>
      <w:pPr>
        <w:pStyle w:val="ListBullet"/>
        <w:spacing w:after="60"/>
      </w:pPr>
      <w:r>
        <w:rPr>
          <w:b/>
        </w:rPr>
        <w:t xml:space="preserve">SC 2.5.3 Label in Name </w:t>
      </w:r>
      <w:r>
        <w:t>Visible button and field labels are included in their accessible names.</w:t>
      </w:r>
    </w:p>
    <w:p>
      <w:pPr>
        <w:pStyle w:val="ListBullet"/>
        <w:spacing w:after="60"/>
      </w:pPr>
      <w:r>
        <w:rPr>
          <w:b/>
        </w:rPr>
        <w:t xml:space="preserve">SC 2.5.4 Motion Actuation </w:t>
      </w:r>
      <w:r>
        <w:t>The application does not require device motion.</w:t>
      </w:r>
    </w:p>
    <w:p>
      <w:pPr>
        <w:pStyle w:val="ListBullet"/>
        <w:spacing w:after="60"/>
      </w:pPr>
      <w:r>
        <w:rPr>
          <w:b/>
        </w:rPr>
        <w:t xml:space="preserve">SC 2.5.7 Dragging Movements </w:t>
      </w:r>
      <w:r>
        <w:t>Every drag action has a click, touch, and keyboard-compatible select-then-place alternative.</w:t>
      </w:r>
    </w:p>
    <w:p>
      <w:pPr>
        <w:pStyle w:val="ListBullet"/>
        <w:spacing w:after="60"/>
      </w:pPr>
      <w:r>
        <w:rPr>
          <w:b/>
        </w:rPr>
        <w:t xml:space="preserve">SC 2.5.8 Target Size Minimum </w:t>
      </w:r>
      <w:r>
        <w:t>Primary interactive targets meet or exceed 24 by 24 CSS pixels; most controls are at least 34 pixels high.</w:t>
      </w:r>
    </w:p>
    <w:p>
      <w:pPr>
        <w:pStyle w:val="Heading2"/>
      </w:pPr>
      <w:r>
        <w:t>Understandable</w:t>
      </w:r>
    </w:p>
    <w:p>
      <w:pPr>
        <w:pStyle w:val="ListBullet"/>
        <w:spacing w:after="60"/>
      </w:pPr>
      <w:r>
        <w:rPr>
          <w:b/>
        </w:rPr>
        <w:t xml:space="preserve">SC 3.1.1 Language of Page </w:t>
      </w:r>
      <w:r>
        <w:t>The document language is declared as English.</w:t>
      </w:r>
    </w:p>
    <w:p>
      <w:pPr>
        <w:pStyle w:val="ListBullet"/>
        <w:spacing w:after="60"/>
      </w:pPr>
      <w:r>
        <w:rPr>
          <w:b/>
        </w:rPr>
        <w:t xml:space="preserve">SC 3.2.1 On Focus </w:t>
      </w:r>
      <w:r>
        <w:t>Moving focus to a control does not activate it or change context.</w:t>
      </w:r>
    </w:p>
    <w:p>
      <w:pPr>
        <w:pStyle w:val="ListBullet"/>
        <w:spacing w:after="60"/>
      </w:pPr>
      <w:r>
        <w:rPr>
          <w:b/>
        </w:rPr>
        <w:t xml:space="preserve">SC 3.2.2 On Input </w:t>
      </w:r>
      <w:r>
        <w:t>Changes occur in response to clearly labeled filter or answer controls and preserve the user's working context.</w:t>
      </w:r>
    </w:p>
    <w:p>
      <w:pPr>
        <w:pStyle w:val="ListBullet"/>
        <w:spacing w:after="60"/>
      </w:pPr>
      <w:r>
        <w:rPr>
          <w:b/>
        </w:rPr>
        <w:t xml:space="preserve">SC 3.2.3 Consistent Navigation </w:t>
      </w:r>
      <w:r>
        <w:t>Navigation and study controls remain in consistent locations throughout the single-page application.</w:t>
      </w:r>
    </w:p>
    <w:p>
      <w:pPr>
        <w:pStyle w:val="ListBullet"/>
        <w:spacing w:after="60"/>
      </w:pPr>
      <w:r>
        <w:rPr>
          <w:b/>
        </w:rPr>
        <w:t xml:space="preserve">SC 3.2.4 Consistent Identification </w:t>
      </w:r>
      <w:r>
        <w:t>Controls with the same function retain consistent names and presentation.</w:t>
      </w:r>
    </w:p>
    <w:p>
      <w:pPr>
        <w:pStyle w:val="ListBullet"/>
        <w:spacing w:after="60"/>
      </w:pPr>
      <w:r>
        <w:rPr>
          <w:b/>
        </w:rPr>
        <w:t xml:space="preserve">SC 3.3.1 Error Identification </w:t>
      </w:r>
      <w:r>
        <w:t>Incorrect responses receive explicit text feedback and are not identified by color alone.</w:t>
      </w:r>
    </w:p>
    <w:p>
      <w:pPr>
        <w:pStyle w:val="ListBullet"/>
        <w:spacing w:after="60"/>
      </w:pPr>
      <w:r>
        <w:rPr>
          <w:b/>
        </w:rPr>
        <w:t xml:space="preserve">SC 3.3.2 Labels or Instructions </w:t>
      </w:r>
      <w:r>
        <w:t>Inputs and activities include labels and operating instructions.</w:t>
      </w:r>
    </w:p>
    <w:p>
      <w:pPr>
        <w:pStyle w:val="ListBullet"/>
        <w:spacing w:after="60"/>
      </w:pPr>
      <w:r>
        <w:rPr>
          <w:b/>
        </w:rPr>
        <w:t xml:space="preserve">SC 3.3.3 Error Suggestion </w:t>
      </w:r>
      <w:r>
        <w:t>Incorrect submissions display the correct responses needed for review.</w:t>
      </w:r>
    </w:p>
    <w:p>
      <w:pPr>
        <w:pStyle w:val="Heading2"/>
      </w:pPr>
      <w:r>
        <w:t>Robust</w:t>
      </w:r>
    </w:p>
    <w:p>
      <w:pPr>
        <w:pStyle w:val="ListBullet"/>
        <w:spacing w:after="60"/>
      </w:pPr>
      <w:r>
        <w:rPr>
          <w:b/>
        </w:rPr>
        <w:t xml:space="preserve">SC 4.1.2 Name Role Value </w:t>
      </w:r>
      <w:r>
        <w:t>Native controls and ARIA states expose control names, roles, selected states, and pressed states.</w:t>
      </w:r>
    </w:p>
    <w:p>
      <w:pPr>
        <w:pStyle w:val="ListBullet"/>
        <w:spacing w:after="60"/>
      </w:pPr>
      <w:r>
        <w:rPr>
          <w:b/>
        </w:rPr>
        <w:t xml:space="preserve">SC 4.1.3 Status Messages </w:t>
      </w:r>
      <w:r>
        <w:t>Live regions and status roles announce placement, grading, clearing, shuffling, and empty-result messages without requiring focus.</w:t>
      </w:r>
    </w:p>
    <w:p>
      <w:pPr>
        <w:pStyle w:val="Heading1"/>
      </w:pPr>
      <w:r>
        <w:t>Manual Verification Required</w:t>
      </w:r>
    </w:p>
    <w:p>
      <w:pPr>
        <w:pStyle w:val="ListBullet"/>
        <w:spacing w:after="60"/>
      </w:pPr>
      <w:r>
        <w:rPr>
          <w:b/>
        </w:rPr>
        <w:t xml:space="preserve">SC 1.4.4 Resize Text </w:t>
      </w:r>
      <w:r>
        <w:t>Verify at 200 percent browser text zoom that no content clips, overlaps, or becomes unavailable.</w:t>
      </w:r>
    </w:p>
    <w:p>
      <w:pPr>
        <w:pStyle w:val="ListBullet"/>
        <w:spacing w:after="60"/>
      </w:pPr>
      <w:r>
        <w:rPr>
          <w:b/>
        </w:rPr>
        <w:t xml:space="preserve">SC 1.4.10 Reflow </w:t>
      </w:r>
      <w:r>
        <w:t>The automated test found no horizontal overflow at 390 CSS pixels. Complete the WCAG check at 320 CSS pixels or an equivalent 400 percent zoom configuration.</w:t>
      </w:r>
    </w:p>
    <w:p>
      <w:pPr>
        <w:pStyle w:val="ListBullet"/>
        <w:spacing w:after="60"/>
      </w:pPr>
      <w:r>
        <w:rPr>
          <w:b/>
        </w:rPr>
        <w:t xml:space="preserve">SC 1.4.12 Text Spacing </w:t>
      </w:r>
      <w:r>
        <w:t>Apply the WCAG text-spacing overrides and verify that headings, inputs, card content, and controls remain readable and usable.</w:t>
      </w:r>
    </w:p>
    <w:p>
      <w:pPr>
        <w:pStyle w:val="ListBullet"/>
        <w:spacing w:after="60"/>
      </w:pPr>
      <w:r>
        <w:rPr>
          <w:b/>
        </w:rPr>
        <w:t xml:space="preserve">SC 2.4.11 Focus Not Obscured Minimum </w:t>
      </w:r>
      <w:r>
        <w:t>Use keyboard-only navigation at desktop and mobile widths to confirm that sticky panels and the modal never fully obscure the focused control.</w:t>
      </w:r>
    </w:p>
    <w:p>
      <w:pPr>
        <w:pStyle w:val="ListBullet"/>
        <w:spacing w:after="60"/>
      </w:pPr>
      <w:r>
        <w:rPr>
          <w:b/>
        </w:rPr>
        <w:t xml:space="preserve">Assistive technology </w:t>
      </w:r>
      <w:r>
        <w:t>Complete representative card workflows with NVDA and Chrome or Edge, including image zoom, drag alternatives, fill-in feedback, select-all grading, and study-stack management.</w:t>
      </w:r>
    </w:p>
    <w:p>
      <w:pPr>
        <w:pStyle w:val="Heading1"/>
      </w:pPr>
      <w:r>
        <w:t>Recommended Next Actions</w:t>
      </w:r>
    </w:p>
    <w:p>
      <w:pPr>
        <w:pStyle w:val="ListNumber"/>
        <w:spacing w:after="80"/>
      </w:pPr>
      <w:r>
        <w:t>Design and implement a nonvisual equivalent for the anatomy artwork and retest SC 1.1.1.</w:t>
      </w:r>
    </w:p>
    <w:p>
      <w:pPr>
        <w:pStyle w:val="ListNumber"/>
        <w:spacing w:after="80"/>
      </w:pPr>
      <w:r>
        <w:t>Complete the manual verification items above using the production deployment and supported browser and assistive-technology combinations.</w:t>
      </w:r>
    </w:p>
    <w:p>
      <w:pPr>
        <w:pStyle w:val="ListNumber"/>
        <w:spacing w:after="80"/>
      </w:pPr>
      <w:r>
        <w:t>Run an automated accessibility scanner such as axe as a supplemental check, then review each finding manually.</w:t>
      </w:r>
    </w:p>
    <w:p>
      <w:pPr>
        <w:pStyle w:val="ListNumber"/>
        <w:spacing w:after="80"/>
      </w:pPr>
      <w:r>
        <w:t>Repeat this audit after material changes to artwork, interaction patterns, navigation, or visual tokens.</w:t>
      </w:r>
    </w:p>
    <w:p>
      <w:pPr>
        <w:pStyle w:val="Heading1"/>
      </w:pPr>
      <w:r>
        <w:t>Sources</w:t>
      </w:r>
    </w:p>
    <w:p>
      <w:r>
        <w:t>Web Content Accessibility Guidelines WCAG 2.2  https://www.w3.org/TR/WCAG22/</w:t>
      </w:r>
    </w:p>
    <w:p>
      <w:r>
        <w:t>How to Meet WCAG Quick Reference  https://www.w3.org/WAI/WCAG22/quickref/</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A5663"/>
        <w:sz w:val="17"/>
      </w:rPr>
      <w:t>McPherson Flash Cards  WCAG 2.2 Audit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723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72331"/>
      <w:sz w:val="21"/>
    </w:rPr>
  </w:style>
  <w:style w:type="paragraph" w:styleId="ListBullet2">
    <w:name w:val="List Bullet 2"/>
    <w:basedOn w:val="Normal"/>
    <w:uiPriority w:val="99"/>
    <w:unhideWhenUsed/>
    <w:rsid w:val="00326F90"/>
    <w:pPr>
      <w:numPr>
        <w:numId w:val="2"/>
      </w:numPr>
      <w:contextualSpacing/>
    </w:pPr>
    <w:rPr>
      <w:rFonts w:ascii="Arial" w:hAnsi="Arial"/>
      <w:color w:val="172331"/>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McPherson Flash Cards WCAG 2.2 Audit Summary</dc:title>
  <dc:subject>WCAG 2.2 Level AA accessibility audit summary</dc:subject>
  <dc:creator>McPherson Flash Cards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