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MIDTERM PROJECT REVIEW</w:t>
      </w:r>
    </w:p>
    <w:p>
      <w:pPr>
        <w:spacing w:before="240" w:after="160"/>
      </w:pPr>
      <w:r>
        <w:rPr>
          <w:rFonts w:ascii="Calibri" w:hAnsi="Calibri" w:eastAsia="Microsoft YaHei"/>
          <w:b/>
          <w:color w:val="203447"/>
          <w:sz w:val="56"/>
        </w:rPr>
        <w:t>AI Investment Copilot</w:t>
        <w:br/>
        <w:t>项目中期汇报</w:t>
      </w:r>
    </w:p>
    <w:p>
      <w:pPr>
        <w:spacing w:after="360"/>
      </w:pPr>
      <w:r>
        <w:rPr>
          <w:rFonts w:ascii="Calibri" w:hAnsi="Calibri" w:eastAsia="Microsoft YaHei"/>
          <w:color w:val="5D6C77"/>
          <w:sz w:val="28"/>
        </w:rPr>
        <w:t>从工程化 MVP 走向安全加固与小规模业务试点</w:t>
      </w:r>
    </w:p>
    <w:p>
      <w:pPr>
        <w:spacing w:after="120"/>
        <w:jc w:val="left"/>
      </w:pPr>
      <w:r>
        <w:rPr>
          <w:rFonts w:ascii="Calibri" w:hAnsi="Calibri" w:eastAsia="Microsoft YaHei"/>
          <w:b/>
        </w:rPr>
        <w:t>面向主动权益研究团队</w:t>
      </w:r>
      <w:r>
        <w:rPr>
          <w:rFonts w:ascii="Calibri" w:hAnsi="Calibri" w:eastAsia="Microsoft YaHei"/>
        </w:rPr>
        <w:t>的投资逻辑智能协作平台</w:t>
      </w:r>
    </w:p>
    <w:p>
      <w:pPr>
        <w:spacing w:after="8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阶段结论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第一阶段核心对象与核心工作流已经成立，产品达到可运行、可测试、可恢复、可评测的工程化 MVP 水平；下一阶段应优先完成身份、权限、可观测性和跨机器灾备，再进入真实研究员小流量试点。</w:t>
            </w:r>
          </w:p>
        </w:tc>
      </w:tr>
    </w:tbl>
    <w:p>
      <w:pPr>
        <w:spacing w:after="0"/>
      </w:pPr>
    </w:p>
    <w:p>
      <w:pPr>
        <w:spacing w:after="600"/>
      </w:pPr>
    </w:p>
    <w:p>
      <w:pPr>
        <w:spacing w:after="60"/>
      </w:pPr>
      <w:r>
        <w:rPr>
          <w:rFonts w:ascii="Calibri" w:hAnsi="Calibri" w:eastAsia="Microsoft YaHei"/>
          <w:b/>
          <w:color w:val="203447"/>
          <w:sz w:val="20"/>
        </w:rPr>
        <w:t>汇报日期：</w:t>
      </w:r>
      <w:r>
        <w:rPr>
          <w:rFonts w:ascii="Calibri" w:hAnsi="Calibri" w:eastAsia="Microsoft YaHei"/>
          <w:color w:val="5D6C77"/>
          <w:sz w:val="20"/>
        </w:rPr>
        <w:t>2026 年 8 月 14 日</w:t>
      </w:r>
    </w:p>
    <w:p>
      <w:pPr>
        <w:spacing w:after="60"/>
      </w:pPr>
      <w:r>
        <w:rPr>
          <w:rFonts w:ascii="Calibri" w:hAnsi="Calibri" w:eastAsia="Microsoft YaHei"/>
          <w:b/>
          <w:color w:val="203447"/>
          <w:sz w:val="20"/>
        </w:rPr>
        <w:t>汇报范围：</w:t>
      </w:r>
      <w:r>
        <w:rPr>
          <w:rFonts w:ascii="Calibri" w:hAnsi="Calibri" w:eastAsia="Microsoft YaHei"/>
          <w:color w:val="5D6C77"/>
          <w:sz w:val="20"/>
        </w:rPr>
        <w:t>项目立项至第一阶段三分支集成完成</w:t>
      </w:r>
    </w:p>
    <w:p>
      <w:pPr>
        <w:spacing w:after="60"/>
      </w:pPr>
      <w:r>
        <w:rPr>
          <w:rFonts w:ascii="Calibri" w:hAnsi="Calibri" w:eastAsia="Microsoft YaHei"/>
          <w:b/>
          <w:color w:val="203447"/>
          <w:sz w:val="20"/>
        </w:rPr>
        <w:t>对应分支：</w:t>
      </w:r>
      <w:r>
        <w:rPr>
          <w:rFonts w:ascii="Calibri" w:hAnsi="Calibri" w:eastAsia="Microsoft YaHei"/>
          <w:color w:val="5D6C77"/>
          <w:sz w:val="20"/>
        </w:rPr>
        <w:t>phase1-integrated</w:t>
      </w:r>
    </w:p>
    <w:p>
      <w:pPr>
        <w:spacing w:after="60"/>
      </w:pPr>
      <w:r>
        <w:rPr>
          <w:rFonts w:ascii="Calibri" w:hAnsi="Calibri" w:eastAsia="Microsoft YaHei"/>
          <w:b/>
          <w:color w:val="203447"/>
          <w:sz w:val="20"/>
        </w:rPr>
        <w:t>工程基线：</w:t>
      </w:r>
      <w:r>
        <w:rPr>
          <w:rFonts w:ascii="Calibri" w:hAnsi="Calibri" w:eastAsia="Microsoft YaHei"/>
          <w:color w:val="5D6C77"/>
          <w:sz w:val="20"/>
        </w:rPr>
        <w:t>c1aef4f · feat(web): align product UI with research demo</w:t>
      </w:r>
    </w:p>
    <w:p>
      <w:pPr>
        <w:spacing w:after="60"/>
      </w:pPr>
      <w:r>
        <w:rPr>
          <w:rFonts w:ascii="Calibri" w:hAnsi="Calibri" w:eastAsia="Microsoft YaHei"/>
          <w:b/>
          <w:color w:val="203447"/>
          <w:sz w:val="20"/>
        </w:rPr>
        <w:t>数据库版本：</w:t>
      </w:r>
      <w:r>
        <w:rPr>
          <w:rFonts w:ascii="Calibri" w:hAnsi="Calibri" w:eastAsia="Microsoft YaHei"/>
          <w:color w:val="5D6C77"/>
          <w:sz w:val="20"/>
        </w:rPr>
        <w:t>0011_ai_runtime_observability</w:t>
      </w:r>
    </w:p>
    <w:p>
      <w:pPr>
        <w:spacing w:after="60"/>
      </w:pPr>
      <w:r>
        <w:rPr>
          <w:rFonts w:ascii="Calibri" w:hAnsi="Calibri" w:eastAsia="Microsoft YaHei"/>
          <w:b/>
          <w:color w:val="203447"/>
          <w:sz w:val="20"/>
        </w:rPr>
        <w:t>报告口径：</w:t>
      </w:r>
      <w:r>
        <w:rPr>
          <w:rFonts w:ascii="Calibri" w:hAnsi="Calibri" w:eastAsia="Microsoft YaHei"/>
          <w:color w:val="5D6C77"/>
          <w:sz w:val="20"/>
        </w:rPr>
        <w:t>截至 2026 年 8 月 13 日的代码、阶段报告和可复验环境</w:t>
      </w:r>
    </w:p>
    <w:p>
      <w:pPr>
        <w:spacing w:after="560"/>
      </w:pPr>
    </w:p>
    <w:p>
      <w:pPr>
        <w:jc w:val="center"/>
      </w:pPr>
      <w:r>
        <w:rPr>
          <w:rFonts w:ascii="Calibri" w:hAnsi="Calibri" w:eastAsia="Microsoft YaHei"/>
          <w:b/>
          <w:color w:val="3F716D"/>
          <w:sz w:val="19"/>
        </w:rPr>
        <w:t>研究辅助 · 人工决策 · 可追溯 · 可复算</w:t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EXECUTIVE SUMMARY</w:t>
      </w:r>
    </w:p>
    <w:p>
      <w:pPr>
        <w:pStyle w:val="Heading1"/>
      </w:pPr>
      <w:r>
        <w:t>一、执行摘要</w:t>
      </w:r>
    </w:p>
    <w:p>
      <w:pPr>
        <w:spacing w:after="120"/>
        <w:jc w:val="left"/>
      </w:pPr>
      <w:r>
        <w:rPr>
          <w:rFonts w:ascii="Calibri" w:hAnsi="Calibri" w:eastAsia="Microsoft YaHei"/>
        </w:rPr>
        <w:t>AI Investment Copilot 不是资讯摘要工具，也不生成交易、评级或调仓指令。产品以 Investment Thesis（投资逻辑）为核心对象，帮助研究员将观点结构化为可证伪假设，并让新增资料持续关联到具体假设，形成可追踪、可复核、可复盘的人机协作过程。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3F716D"/>
          <w:left w:val="single" w:sz="8" w:color="3F716D"/>
          <w:bottom w:val="single" w:sz="8" w:color="3F716D"/>
          <w:right w:val="single" w:sz="8" w:color="3F716D"/>
          <w:insideH w:val="single" w:sz="8" w:color="3F716D"/>
          <w:insideV w:val="single" w:sz="8" w:color="3F716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3F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3F716D"/>
                <w:sz w:val="20"/>
              </w:rPr>
              <w:t xml:space="preserve">一句话定位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把分散的研究观点转化为可验证的结构化投资逻辑，让事实、指标、证据、人工决定和历史版本围绕同一条研究链路沉淀。</w:t>
            </w:r>
          </w:p>
        </w:tc>
      </w:tr>
    </w:tbl>
    <w:p>
      <w:pPr>
        <w:spacing w:after="0"/>
      </w:pPr>
    </w:p>
    <w:p>
      <w:pPr>
        <w:pStyle w:val="Heading2"/>
      </w:pPr>
      <w:r>
        <w:t>1.1 本阶段最重要的四项成果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产品闭环成立：完成证券建档、逻辑草稿、人工发布、新资料处理、候选证据、人工复核、状态建议、版本与审计的端到端链路。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工程底座成立：形成 React + FastAPI + ARQ Worker + PostgreSQL/pgvector + Redis + MinIO 的模块化单体，并支持一键启动与完整 readiness。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边界可执行：AI、RAG 和规则只生成草稿、候选或建议；数值由确定性代码计算，正式发布、证据确认和状态变更必须由人工完成。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效果评测起步：建立独立金标和 RAG 离线评测，既验证可行性，也暴露方向判断与引用正确率不足，避免把演示成功误当作生产效果。</w:t>
      </w:r>
    </w:p>
    <w:p>
      <w:pPr>
        <w:pStyle w:val="Heading2"/>
      </w:pPr>
      <w:r>
        <w:t>1.2 关键交付数字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203447"/>
          <w:left w:val="single" w:sz="4" w:color="203447"/>
          <w:bottom w:val="single" w:sz="4" w:color="203447"/>
          <w:right w:val="single" w:sz="4" w:color="203447"/>
          <w:insideH w:val="single" w:sz="4" w:color="203447"/>
          <w:insideV w:val="single" w:sz="4" w:color="20344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03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54 / 57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D9E4EC"/>
                <w:sz w:val="17"/>
              </w:rPr>
              <w:t>API 路径 / 操作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AEBBC7"/>
                <w:sz w:val="15"/>
              </w:rPr>
              <w:t>67 个 Schema</w:t>
            </w:r>
          </w:p>
        </w:tc>
        <w:tc>
          <w:tcPr>
            <w:tcW w:type="dxa" w:w="2340"/>
            <w:shd w:fill="203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36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D9E4EC"/>
                <w:sz w:val="17"/>
              </w:rPr>
              <w:t>ORM 数据表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AEBBC7"/>
                <w:sz w:val="15"/>
              </w:rPr>
              <w:t>11 个顺序迁移</w:t>
            </w:r>
          </w:p>
        </w:tc>
        <w:tc>
          <w:tcPr>
            <w:tcW w:type="dxa" w:w="2340"/>
            <w:shd w:fill="203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329 + 42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D9E4EC"/>
                <w:sz w:val="17"/>
              </w:rPr>
              <w:t>单元契约 + 集成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AEBBC7"/>
                <w:sz w:val="15"/>
              </w:rPr>
              <w:t>1 条条件跳过</w:t>
            </w:r>
          </w:p>
        </w:tc>
        <w:tc>
          <w:tcPr>
            <w:tcW w:type="dxa" w:w="2340"/>
            <w:shd w:fill="203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4,275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D9E4EC"/>
                <w:sz w:val="17"/>
              </w:rPr>
              <w:t>活动知识切片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AEBBC7"/>
                <w:sz w:val="15"/>
              </w:rPr>
              <w:t>版本化向量基线</w:t>
            </w:r>
          </w:p>
        </w:tc>
      </w:tr>
    </w:tbl>
    <w:p>
      <w:pPr>
        <w:spacing w:after="0"/>
      </w:pPr>
    </w:p>
    <w:p>
      <w:pPr>
        <w:pStyle w:val="Heading2"/>
      </w:pPr>
      <w:r>
        <w:t>1.3 中期判断</w:t>
      </w:r>
    </w:p>
    <w:p>
      <w:pPr>
        <w:spacing w:after="120"/>
        <w:jc w:val="left"/>
      </w:pPr>
      <w:r>
        <w:rPr>
          <w:rFonts w:ascii="Calibri" w:hAnsi="Calibri" w:eastAsia="Microsoft YaHei"/>
        </w:rPr>
        <w:t>当前阶段适合定义为“工程化 MVP 第一阶段完成，进入安全加固和小规模业务试点准备”。产品核心流程已经可用，但共享试点前仍必须补齐正式身份与 RBAC、监控告警、跨机器备份和容量验证；效果侧必须提高方向判断、假设匹配和引用正确率，并获得真实研究员处置数据。</w:t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WHY THIS PRODUCT</w:t>
      </w:r>
    </w:p>
    <w:p>
      <w:pPr>
        <w:pStyle w:val="Heading1"/>
      </w:pPr>
      <w:r>
        <w:t>二、项目背景、定位与阶段目标</w:t>
      </w:r>
    </w:p>
    <w:p>
      <w:pPr>
        <w:pStyle w:val="Heading2"/>
      </w:pPr>
      <w:r>
        <w:t>2.1 我们解决的不是“信息太少”，而是研究过程难以持续验证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研究观点散落在报告、聊天、会议纪要和个人笔记中，结构与口径不统一。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新公告、新财报和经营数据很难稳定关联到原有判断，研究员需要反复阅读和回忆。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支持证据、冲突证据、指标预期和失效条件没有形成同一条可追溯证据链。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正式观点变化缺少版本、原因和数据时点，事后难以回答“当时为什么这样判断”。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通用生成式 AI 容易产生无引用结论、不可复算数值，甚至越过业务边界替用户决策。</w:t>
      </w:r>
    </w:p>
    <w:p>
      <w:pPr>
        <w:pStyle w:val="Heading2"/>
      </w:pPr>
      <w:r>
        <w:t>2.2 产品定位与硬边界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1500"/>
        <w:gridCol w:w="4100"/>
        <w:gridCol w:w="37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维度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本项目的选择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明确不做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核心对象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投资逻辑、假设、指标、证据、版本与审计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资讯摘要流或聊天记录堆积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AI 角色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生成草稿、候选关系和解释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自动发布、自动确认、自动改变正式状态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数值与规则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程序确定性计算、可复算、版本化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让模型计算正式同比、阈值和失效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产品输出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研究提示、候选证据和状态建议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买卖、评级、调仓或收益承诺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数据治理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时间裁剪、权限过滤、原文定位、版本快照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覆盖历史或使用未来信息</w:t>
            </w:r>
          </w:p>
        </w:tc>
      </w:tr>
    </w:tbl>
    <w:p>
      <w:pPr>
        <w:spacing w:after="0"/>
      </w:pPr>
    </w:p>
    <w:p>
      <w:pPr>
        <w:pStyle w:val="Heading2"/>
      </w:pPr>
      <w:r>
        <w:t>2.3 第一阶段目标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将投资判断结构化为标准逻辑卡片。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将新增资料与变化关联到具体逻辑和假设。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让 AI 只生成草稿和候选，由人工决定正式内容与状态。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保存引用、数据、模型、提示词、规则版本和人工动作。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建立可持续评测 AI 与检索效果的工程基础。</w:t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DELIVERY PROGRESS</w:t>
      </w:r>
    </w:p>
    <w:p>
      <w:pPr>
        <w:pStyle w:val="Heading1"/>
      </w:pPr>
      <w:r>
        <w:t>三、阶段进展与完成度</w:t>
      </w:r>
    </w:p>
    <w:p>
      <w:pPr>
        <w:pStyle w:val="Heading2"/>
      </w:pPr>
      <w:r>
        <w:t>3.1 建设过程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900"/>
        <w:gridCol w:w="1800"/>
        <w:gridCol w:w="5260"/>
        <w:gridCol w:w="140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阶段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主题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主要交付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状态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阶段一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领域模型与后端闭环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逻辑、假设、指标、事件、证据、状态、版本和审计；建卡与变化两条主链</w:t>
            </w:r>
          </w:p>
        </w:tc>
        <w:tc>
          <w:tcPr>
            <w:tcW w:type="dxa" w:w="14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阶段二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真实公开数据与规则验证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阳光电源及三行业九公司，修复阈值 0、方向枚举、未来信息等静默错误</w:t>
            </w:r>
          </w:p>
        </w:tc>
        <w:tc>
          <w:tcPr>
            <w:tcW w:type="dxa" w:w="14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阶段三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前后端产品化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工作台、变化雷达、投资逻辑、复核复盘、资产治理；真实 API/数据库联通</w:t>
            </w:r>
          </w:p>
        </w:tc>
        <w:tc>
          <w:tcPr>
            <w:tcW w:type="dxa" w:w="14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阶段四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知识资产与交付闭环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对象存储、修订、处理运行、索引、版本化修订、备份恢复和一键环境</w:t>
            </w:r>
          </w:p>
        </w:tc>
        <w:tc>
          <w:tcPr>
            <w:tcW w:type="dxa" w:w="14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 MVP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阶段五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效果基线与 RAG 试点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独立金标、pgvector 混合召回；默认关闭，只作为候选上下文</w:t>
            </w:r>
          </w:p>
        </w:tc>
        <w:tc>
          <w:tcPr>
            <w:tcW w:type="dxa" w:w="1400"/>
            <w:shd w:fill="F7F1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受控试点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阶段六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三分支集成与视觉统一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后端/数据、Agent Runtime、React 前端合入 phase1-integrated；web 对齐 demo 视觉</w:t>
            </w:r>
          </w:p>
        </w:tc>
        <w:tc>
          <w:tcPr>
            <w:tcW w:type="dxa" w:w="14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</w:t>
            </w:r>
          </w:p>
        </w:tc>
      </w:tr>
    </w:tbl>
    <w:p>
      <w:pPr>
        <w:spacing w:after="0"/>
      </w:pPr>
    </w:p>
    <w:p>
      <w:pPr>
        <w:pStyle w:val="Heading2"/>
      </w:pPr>
      <w:r>
        <w:t>3.2 当前完成度评估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2100"/>
        <w:gridCol w:w="1500"/>
        <w:gridCol w:w="57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维度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状态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判断依据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核心领域对象</w:t>
            </w:r>
          </w:p>
        </w:tc>
        <w:tc>
          <w:tcPr>
            <w:tcW w:type="dxa" w:w="15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投资逻辑、假设、指标、证据、状态、版本、审计已落地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建卡与变化闭环</w:t>
            </w:r>
          </w:p>
        </w:tc>
        <w:tc>
          <w:tcPr>
            <w:tcW w:type="dxa" w:w="15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从草稿到发布、从上传到候选证据和人工处置均可运行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确定性验证</w:t>
            </w:r>
          </w:p>
        </w:tc>
        <w:tc>
          <w:tcPr>
            <w:tcW w:type="dxa" w:w="15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 MVP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预期差、趋势、失效和历史时间裁剪可复算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研究资产层</w:t>
            </w:r>
          </w:p>
        </w:tc>
        <w:tc>
          <w:tcPr>
            <w:tcW w:type="dxa" w:w="15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 MVP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原件、修订、运行、产物、索引和备份恢复已落地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Agent Runtime</w:t>
            </w:r>
          </w:p>
        </w:tc>
        <w:tc>
          <w:tcPr>
            <w:tcW w:type="dxa" w:w="15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 MVP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四项 Skill、证据校验、运行轨迹和模型用量接入 Worker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RAG</w:t>
            </w:r>
          </w:p>
        </w:tc>
        <w:tc>
          <w:tcPr>
            <w:tcW w:type="dxa" w:w="1500"/>
            <w:shd w:fill="F7F1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受控试点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默认关闭；无权限泄漏，但引用质量未达扩量门槛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正式身份与 RBAC</w:t>
            </w:r>
          </w:p>
        </w:tc>
        <w:tc>
          <w:tcPr>
            <w:tcW w:type="dxa" w:w="150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未完成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JWT 能力存在，共享环境的机构身份和角色治理未闭环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生产可观测性</w:t>
            </w:r>
          </w:p>
        </w:tc>
        <w:tc>
          <w:tcPr>
            <w:tcW w:type="dxa" w:w="150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未完成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缺指标平台、集中日志、追踪、告警和容量阈值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真实用户验证</w:t>
            </w:r>
          </w:p>
        </w:tc>
        <w:tc>
          <w:tcPr>
            <w:tcW w:type="dxa" w:w="150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未完成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尚无不少于 5 名研究员的正式任务与反馈数据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PRODUCT OUTCOMES</w:t>
      </w:r>
    </w:p>
    <w:p>
      <w:pPr>
        <w:pStyle w:val="Heading1"/>
      </w:pPr>
      <w:r>
        <w:t>四、当前产品成果</w:t>
      </w:r>
    </w:p>
    <w:p>
      <w:pPr>
        <w:pStyle w:val="Heading2"/>
      </w:pPr>
      <w:r>
        <w:t>4.1 已形成五个通用产品入口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1600"/>
        <w:gridCol w:w="3100"/>
        <w:gridCol w:w="46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产品入口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解决的问题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当前主要能力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工作台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研究员今天优先处理什么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聚合待核验变化、状态建议、到期复核和重大风险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变化雷达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新资料如何影响已有观点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按研究逻辑展示候选证据、方向、置信度、引用与处置状态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投资逻辑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观点如何结构化和持续维护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建卡、假设与指标、发布就绪、人工发布、修订、状态与时间线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复核与复盘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异常、低置信和冲突如何处理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资料归属、失败重放、低置信复核、证据方向裁决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资产治理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资料和衍生产物如何长期维护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资产盘点、权限同步、墓碑删除、重处理、检索和索引重建</w:t>
            </w:r>
          </w:p>
        </w:tc>
      </w:tr>
    </w:tbl>
    <w:p>
      <w:pPr>
        <w:spacing w:after="0"/>
      </w:pPr>
    </w:p>
    <w:p>
      <w:pPr>
        <w:pStyle w:val="Heading2"/>
      </w:pPr>
      <w:r>
        <w:t>4.2 两条核心业务闭环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建卡闭环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证券建档 → 输入观点/资料 → AI 生成逻辑草稿 → 人工编辑假设与指标 → 发布就绪检查 → 人工发布 V1 → 后续修订和版本差异。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3F716D"/>
          <w:left w:val="single" w:sz="8" w:color="3F716D"/>
          <w:bottom w:val="single" w:sz="8" w:color="3F716D"/>
          <w:right w:val="single" w:sz="8" w:color="3F716D"/>
          <w:insideH w:val="single" w:sz="8" w:color="3F716D"/>
          <w:insideV w:val="single" w:sz="8" w:color="3F716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3F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3F716D"/>
                <w:sz w:val="20"/>
              </w:rPr>
              <w:t xml:space="preserve">变化闭环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上传新资料 → 原件归档 → 解析、切片、事实/事件抽取 → 召回逻辑与假设 → AI 生成候选证据 → 人工确认/驳回 → 规则生成状态建议 → 人工决定正式状态。</w:t>
            </w:r>
          </w:p>
        </w:tc>
      </w:tr>
    </w:tbl>
    <w:p>
      <w:pPr>
        <w:spacing w:after="0"/>
      </w:pPr>
    </w:p>
    <w:p>
      <w:pPr>
        <w:pStyle w:val="Heading2"/>
      </w:pPr>
      <w:r>
        <w:t>4.3 产品体验与展示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通用 web/ 已采用与 web_demo/ 一致的 Research Graph 研究终端视觉：深蓝终端壳层、暖灰网格画布、来源语义色和响应式导航。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保留通用产品完整路由和 API 契约，没有为了视觉统一复制演示专用业务流程。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固定场景 web_demo/ 以中芯国际 2023 年报重大风险为例，展示真实 API、数据库、引用、人工闸门、版本和结构化时间线。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桌面端与 390×844 窄屏均完成浏览器验收，无横向溢出、无应用控制台错误。</w:t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END-TO-END DEMONSTRATION</w:t>
      </w:r>
    </w:p>
    <w:p>
      <w:pPr>
        <w:pStyle w:val="Heading1"/>
      </w:pPr>
      <w:r>
        <w:t>五、端到端演示链路</w:t>
      </w:r>
    </w:p>
    <w:p>
      <w:pPr>
        <w:spacing w:after="120"/>
        <w:jc w:val="left"/>
      </w:pPr>
      <w:r>
        <w:rPr>
          <w:rFonts w:ascii="Calibri" w:hAnsi="Calibri" w:eastAsia="Microsoft YaHei"/>
        </w:rPr>
        <w:t>建议现场演示控制在 8—10 分钟，围绕一条真实研究逻辑完成“看见变化—核验事实—人工决定—回看历史”，避免逐页介绍功能。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700"/>
        <w:gridCol w:w="1600"/>
        <w:gridCol w:w="6060"/>
        <w:gridCol w:w="1000"/>
      </w:tblGrid>
      <w:tr>
        <w:trPr>
          <w:tblHeader w:val="true"/>
        </w:trPr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步骤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演示节点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要讲清楚的价值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建议用时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环境就绪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展示 /health/ready：数据库、Redis、Worker、对象存储均为 ready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30 秒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02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工作台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说明待办按影响程度和披露时间排序，进入当前研究上下文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60 秒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投资逻辑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展示核心观点、三项假设、指标、证据健康度和下次复核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90 秒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04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上传资料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上传 PDF/DOCX/TXT；说明原件哈希归档、异步任务和失败恢复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90 秒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变化雷达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查看候选证据、事实摘录、引用定位、方向和 AI 置信度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90 秒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06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人工核验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确认、驳回或修改证据关系；强调 AI 不自动进入正式证据链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90 秒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状态决策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展示规则建议，填写原因并由负责人接受、拒绝或修改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90 秒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08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版本与时间线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查看正式版本、数据截止时间、模型/规则版本和人工审计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60 秒</w:t>
            </w:r>
          </w:p>
        </w:tc>
      </w:tr>
    </w:tbl>
    <w:p>
      <w:pPr>
        <w:spacing w:after="0"/>
      </w:pPr>
    </w:p>
    <w:p>
      <w:pPr>
        <w:pStyle w:val="Heading2"/>
      </w:pPr>
      <w:r>
        <w:t>5.1 演示时必须强调的三句话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系统没有替研究员做投资决定，而是把候选生成、程序计算和人工决定明确分开。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看到的事实可以回到原文 locator，看到的正式状态可以回到人工原因和历史版本。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RAG 目前是默认关闭的候选上下文试点，效果不足时关闭不会影响核心业务闭环。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896725"/>
          <w:left w:val="single" w:sz="8" w:color="896725"/>
          <w:bottom w:val="single" w:sz="8" w:color="896725"/>
          <w:right w:val="single" w:sz="8" w:color="896725"/>
          <w:insideH w:val="single" w:sz="8" w:color="896725"/>
          <w:insideV w:val="single" w:sz="8" w:color="89672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7F1E2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896725"/>
                <w:sz w:val="20"/>
              </w:rPr>
              <w:t xml:space="preserve">备用方案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若现场上传受环境影响，直接使用仓库固定场景：中芯国际 2023 年报 → AI 候选 → 关系复核 → 假设健康度 → 人工状态决策 → 时间线。固定场景仍走真实 API 与 PostgreSQL，不以 Mock 补造真实模式结果。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TECHNICAL ARCHITECTURE</w:t>
      </w:r>
    </w:p>
    <w:p>
      <w:pPr>
        <w:pStyle w:val="Heading1"/>
      </w:pPr>
      <w:r>
        <w:t>六、技术架构与关键设计</w:t>
      </w:r>
    </w:p>
    <w:p>
      <w:pPr>
        <w:spacing w:after="120"/>
        <w:jc w:val="left"/>
      </w:pPr>
      <w:r>
        <w:rPr>
          <w:rFonts w:ascii="Calibri" w:hAnsi="Calibri" w:eastAsia="Microsoft YaHei"/>
        </w:rPr>
        <w:t>第一阶段采用模块化单体。当前复杂度主要来自领域边界、权限、版本和人工闸门，而非独立扩缩容；过早拆微服务会引入分布式事务和跨服务调试成本。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9360"/>
      </w:tblGrid>
      <w:tr>
        <w:tc>
          <w:tcPr>
            <w:tcW w:type="dxa" w:w="9360"/>
            <w:shd w:fill="203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API / Web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FFFFFF"/>
                <w:sz w:val="17"/>
              </w:rPr>
              <w:t>React 通用产品与固定场景 · FastAPI · Pydantic DTO · 身份解析</w:t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↓</w:t>
            </w:r>
          </w:p>
        </w:tc>
      </w:tr>
      <w:tr>
        <w:tc>
          <w:tcPr>
            <w:tcW w:type="dxa" w:w="93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Application Service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FFFFFF"/>
                <w:sz w:val="17"/>
              </w:rPr>
              <w:t>工作台、知识资产、逻辑生命周期、证据关系、复核、版本与审计 · 人工闸门</w:t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↓</w:t>
            </w:r>
          </w:p>
        </w:tc>
      </w:tr>
      <w:tr>
        <w:tc>
          <w:tcPr>
            <w:tcW w:type="dxa" w:w="9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Worker + Agent Runtime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FFFFFF"/>
                <w:sz w:val="17"/>
              </w:rPr>
              <w:t>ARQ 异步任务 · 文档解析 · 逻辑草稿 · 事件影响 · 证据校验 · 只写候选</w:t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↓</w:t>
            </w:r>
          </w:p>
        </w:tc>
      </w:tr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2313F"/>
                <w:sz w:val="21"/>
              </w:rPr>
              <w:t>RAG + Deterministic Calc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2313F"/>
                <w:sz w:val="17"/>
              </w:rPr>
              <w:t>权限优先混合召回 · pgvector · 时间裁剪 · 指标趋势 · 失效判断 · 状态建议</w:t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 w:eastAsia="Microsoft YaHei"/>
                <w:b/>
                <w:color w:val="22313F"/>
                <w:sz w:val="20"/>
              </w:rPr>
              <w:t>↓</w:t>
            </w:r>
          </w:p>
        </w:tc>
      </w:tr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2313F"/>
                <w:sz w:val="21"/>
              </w:rPr>
              <w:t>Domain + Repository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2313F"/>
                <w:sz w:val="17"/>
              </w:rPr>
              <w:t>Unit of Work · SQLAlchemy Repository · 业务写入与审计原子提交</w:t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 w:eastAsia="Microsoft YaHei"/>
                <w:b/>
                <w:color w:val="22313F"/>
                <w:sz w:val="20"/>
              </w:rPr>
              <w:t>↓</w:t>
            </w:r>
          </w:p>
        </w:tc>
      </w:tr>
      <w:tr>
        <w:tc>
          <w:tcPr>
            <w:tcW w:type="dxa" w:w="936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2313F"/>
                <w:sz w:val="21"/>
              </w:rPr>
              <w:t>Infrastructure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2313F"/>
                <w:sz w:val="17"/>
              </w:rPr>
              <w:t>PostgreSQL 16 / pgvector · Redis / ARQ · MinIO Object Lock · 可选模型端点</w:t>
            </w:r>
          </w:p>
        </w:tc>
      </w:tr>
    </w:tbl>
    <w:p>
      <w:pPr>
        <w:pStyle w:val="Heading2"/>
      </w:pPr>
      <w:r>
        <w:t>6.1 架构原则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薄层：FastAPI 只解析请求、获取身份、调用 Service 和组装响应；API 被架构规则禁止直连数据库。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事务一致性：Unit of Work 让业务写入与审计写入共用事务，审计失败时业务动作一起回滚。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 与计算分离：app/ai 负责语义任务，app/calc 负责同比、趋势、阈值和失效等可复算计算。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异步可靠性：资料处理进入 Redis/ARQ，支持重试、指数退避、停滞恢复、死信和人工复核。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知识资产不可变：MinIO 按 SHA-256 归档原件，开启版本控制和 Object Lock；删除采用墓碑并移出活动索引。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权限优先检索：先按身份、标签、证券、行业和披露时间过滤，再进行关键词与向量排序。</w:t>
      </w:r>
    </w:p>
    <w:p>
      <w:pPr>
        <w:pStyle w:val="Heading2"/>
      </w:pPr>
      <w:r>
        <w:t>6.2 当前技术栈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层级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主要技术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职责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前端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React 19、TypeScript、Vite、TanStack Query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通用工作台与固定场景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API / 服务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Python、FastAPI、Pydantic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HTTP、身份、业务用例与人工闸门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任务 / AI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ARQ、Redis、Agent Runtime、Local/HTTP Provider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异步解析、候选生成、校验与降级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数据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SQLAlchemy、PostgreSQL 16、pgvector、Alembic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业务事实、版本、审计、检索与向量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对象存储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MinIO / S3-compatible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不可变原件、对象版本和恢复清单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ENGINEERING DELIVERY</w:t>
      </w:r>
    </w:p>
    <w:p>
      <w:pPr>
        <w:pStyle w:val="Heading1"/>
      </w:pPr>
      <w:r>
        <w:t>七、工程交付与质量体系</w:t>
      </w:r>
    </w:p>
    <w:p>
      <w:pPr>
        <w:pStyle w:val="Heading2"/>
      </w:pPr>
      <w:r>
        <w:t>7.1 当前工程规模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203447"/>
          <w:left w:val="single" w:sz="4" w:color="203447"/>
          <w:bottom w:val="single" w:sz="4" w:color="203447"/>
          <w:right w:val="single" w:sz="4" w:color="203447"/>
          <w:insideH w:val="single" w:sz="4" w:color="203447"/>
          <w:insideV w:val="single" w:sz="4" w:color="20344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03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114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D9E4EC"/>
                <w:sz w:val="17"/>
              </w:rPr>
              <w:t>后端源文件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AEBBC7"/>
                <w:sz w:val="15"/>
              </w:rPr>
              <w:t>app/ Python</w:t>
            </w:r>
          </w:p>
        </w:tc>
        <w:tc>
          <w:tcPr>
            <w:tcW w:type="dxa" w:w="2340"/>
            <w:shd w:fill="203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76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D9E4EC"/>
                <w:sz w:val="17"/>
              </w:rPr>
              <w:t>测试文件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AEBBC7"/>
                <w:sz w:val="15"/>
              </w:rPr>
              <w:t>unit/contract/integration</w:t>
            </w:r>
          </w:p>
        </w:tc>
        <w:tc>
          <w:tcPr>
            <w:tcW w:type="dxa" w:w="2340"/>
            <w:shd w:fill="203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36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D9E4EC"/>
                <w:sz w:val="17"/>
              </w:rPr>
              <w:t>ORM 表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AEBBC7"/>
                <w:sz w:val="15"/>
              </w:rPr>
              <w:t>领域 + 资产 + 治理</w:t>
            </w:r>
          </w:p>
        </w:tc>
        <w:tc>
          <w:tcPr>
            <w:tcW w:type="dxa" w:w="2340"/>
            <w:shd w:fill="203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36"/>
              </w:rPr>
              <w:t>11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D9E4EC"/>
                <w:sz w:val="17"/>
              </w:rPr>
              <w:t>顺序迁移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AEBBC7"/>
                <w:sz w:val="15"/>
              </w:rPr>
              <w:t>单一 Alembic head</w:t>
            </w:r>
          </w:p>
        </w:tc>
      </w:tr>
    </w:tbl>
    <w:p>
      <w:pPr>
        <w:spacing w:after="0"/>
      </w:pPr>
    </w:p>
    <w:p>
      <w:pPr>
        <w:pStyle w:val="Heading2"/>
      </w:pPr>
      <w:r>
        <w:t>7.2 质量门禁结果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2200"/>
        <w:gridCol w:w="1300"/>
        <w:gridCol w:w="58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门禁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结果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Ruff / 格式</w:t>
            </w:r>
          </w:p>
        </w:tc>
        <w:tc>
          <w:tcPr>
            <w:tcW w:type="dxa" w:w="13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233 个 Python 文件格式一致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Mypy</w:t>
            </w:r>
          </w:p>
        </w:tc>
        <w:tc>
          <w:tcPr>
            <w:tcW w:type="dxa" w:w="13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114 个后端源文件无类型问题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JSON Schema</w:t>
            </w:r>
          </w:p>
        </w:tc>
        <w:tc>
          <w:tcPr>
            <w:tcW w:type="dxa" w:w="13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5 个 AI Schema，0 个问题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OpenAPI</w:t>
            </w:r>
          </w:p>
        </w:tc>
        <w:tc>
          <w:tcPr>
            <w:tcW w:type="dxa" w:w="13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实现与 contracts/api/openapi.yaml 一致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Import Linter</w:t>
            </w:r>
          </w:p>
        </w:tc>
        <w:tc>
          <w:tcPr>
            <w:tcW w:type="dxa" w:w="13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6 条分层依赖契约保持有效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单元与契约测试</w:t>
            </w:r>
          </w:p>
        </w:tc>
        <w:tc>
          <w:tcPr>
            <w:tcW w:type="dxa" w:w="13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329 passed，1 skipped（条件性跳过，并非失败）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PostgreSQL 集成测试</w:t>
            </w:r>
          </w:p>
        </w:tc>
        <w:tc>
          <w:tcPr>
            <w:tcW w:type="dxa" w:w="13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42 passed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通用前端</w:t>
            </w:r>
          </w:p>
        </w:tc>
        <w:tc>
          <w:tcPr>
            <w:tcW w:type="dxa" w:w="13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ESLint、TypeScript、Vite build；当前 94 个模块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固定场景前端</w:t>
            </w:r>
          </w:p>
        </w:tc>
        <w:tc>
          <w:tcPr>
            <w:tcW w:type="dxa" w:w="1300"/>
            <w:shd w:fill="EAF3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7"/>
              </w:rPr>
              <w:t>通过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ESLint、TypeScript、Vite build；91 个模块</w:t>
            </w:r>
          </w:p>
        </w:tc>
      </w:tr>
    </w:tbl>
    <w:p>
      <w:pPr>
        <w:spacing w:after="0"/>
      </w:pPr>
    </w:p>
    <w:p>
      <w:pPr>
        <w:pStyle w:val="Heading2"/>
      </w:pPr>
      <w:r>
        <w:t>7.3 真实环境与恢复验收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PostgreSQL/pgvector、Redis、MinIO、API、Worker 和 Web 完成冷停—冷启，组合 readiness 全部返回 ready。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 TXT 上传完成对象归档、文档修订、处理运行、Worker 下载、切片、事件、候选证据、embedding 和混合检索核验。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数据库与全部对象版本完成成套备份；隔离恢复中对象版本通过 SHA-256 交叉核验。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临时数据库完成 upgrade head → downgrade base → upgrade head 迁移往返；开发库已升级至 0011。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3F716D"/>
          <w:left w:val="single" w:sz="8" w:color="3F716D"/>
          <w:bottom w:val="single" w:sz="8" w:color="3F716D"/>
          <w:right w:val="single" w:sz="8" w:color="3F716D"/>
          <w:insideH w:val="single" w:sz="8" w:color="3F716D"/>
          <w:insideV w:val="single" w:sz="8" w:color="3F716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3F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3F716D"/>
                <w:sz w:val="20"/>
              </w:rPr>
              <w:t xml:space="preserve">当前实时状态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截至本文生成时，本地 API、Worker、Web 均存活；数据库、Redis、Worker、MinIO 四项 readiness 均为 ready。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DATA &amp; EVALUATION</w:t>
      </w:r>
    </w:p>
    <w:p>
      <w:pPr>
        <w:pStyle w:val="Heading1"/>
      </w:pPr>
      <w:r>
        <w:t>八、数据验证与效果评测</w:t>
      </w:r>
    </w:p>
    <w:p>
      <w:pPr>
        <w:pStyle w:val="Heading2"/>
      </w:pPr>
      <w:r>
        <w:t>8.1 多层验证体系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验证层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样本与目的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阶段结论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虚构样例包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快速验证领域对象、接口和页面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用于功能回归，不作为效果证明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阳光电源真实案例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6 份公开资料、6 条事件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验证组合失效、口径冲突、时间裁剪和人工闸门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三行业九公司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3,784 条公告、45 条逻辑、135 条假设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验证跨行业数据链路并暴露静默规则错误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九公司冻结回放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9 家公司、27 个事件、36 个真实观测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来源追踪、代理人工确认与状态回放通过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独立盲标集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59 条、三行业九公司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建立事件、归属、匹配与方向基线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RAG 离线评测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59 条独立信息需求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验证权限优先混合召回与引用质量</w:t>
            </w:r>
          </w:p>
        </w:tc>
      </w:tr>
    </w:tbl>
    <w:p>
      <w:pPr>
        <w:spacing w:after="0"/>
      </w:pPr>
    </w:p>
    <w:p>
      <w:pPr>
        <w:pStyle w:val="Heading2"/>
      </w:pPr>
      <w:r>
        <w:t>8.2 独立金标结果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1900"/>
        <w:gridCol w:w="1600"/>
        <w:gridCol w:w="2300"/>
        <w:gridCol w:w="35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任务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指标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结果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阶段判断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事件筛选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Precision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96.3%（26/27）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精度较高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事件筛选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Recall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86.7%（26/30）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仍有 13.3% 漏检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证券归属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Accuracy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100.0%（59/59）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当前样本通过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假设匹配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Accuracy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71.2%（42/59）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需要继续提升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方向判断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Accuracy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30.8%（8/26）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主要瓶颈</w:t>
            </w:r>
          </w:p>
        </w:tc>
      </w:tr>
    </w:tbl>
    <w:p>
      <w:pPr>
        <w:spacing w:after="0"/>
      </w:pPr>
    </w:p>
    <w:p>
      <w:pPr>
        <w:pStyle w:val="Heading2"/>
      </w:pPr>
      <w:r>
        <w:t>8.3 RAG 试点结果与边界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4200"/>
        <w:gridCol w:w="1720"/>
        <w:gridCol w:w="1720"/>
        <w:gridCol w:w="1720"/>
      </w:tblGrid>
      <w:tr>
        <w:trPr>
          <w:tblHeader w:val="true"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方法</w:t>
            </w:r>
          </w:p>
        </w:tc>
        <w:tc>
          <w:tcPr>
            <w:tcW w:type="dxa" w:w="1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Recall@5</w:t>
            </w:r>
          </w:p>
        </w:tc>
        <w:tc>
          <w:tcPr>
            <w:tcW w:type="dxa" w:w="1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Recall@10</w:t>
            </w:r>
          </w:p>
        </w:tc>
        <w:tc>
          <w:tcPr>
            <w:tcW w:type="dxa" w:w="1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MRR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关键词长查询基线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0.0%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0.0%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0.0000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关键词 + pgvector 混合召回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57.6%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61.0%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0.4136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896725"/>
          <w:left w:val="single" w:sz="8" w:color="896725"/>
          <w:bottom w:val="single" w:sz="8" w:color="896725"/>
          <w:right w:val="single" w:sz="8" w:color="896725"/>
          <w:insideH w:val="single" w:sz="8" w:color="896725"/>
          <w:insideV w:val="single" w:sz="8" w:color="89672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7F1E2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896725"/>
                <w:sz w:val="20"/>
              </w:rPr>
              <w:t xml:space="preserve">必须谨慎解释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4,275 个活动切片使用 256 维离线哈希 embedding。Top-1 引用正确率仅 30.5%，虽然受限身份越权结果为 0，但质量不满足扩大自动化范围；RAG 因此默认关闭，只能作为候选上下文。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VALUE &amp; RISKS</w:t>
      </w:r>
    </w:p>
    <w:p>
      <w:pPr>
        <w:pStyle w:val="Heading1"/>
      </w:pPr>
      <w:r>
        <w:t>九、阶段价值、限制与主要风险</w:t>
      </w:r>
    </w:p>
    <w:p>
      <w:pPr>
        <w:pStyle w:val="Heading2"/>
      </w:pPr>
      <w:r>
        <w:t>9.1 已经得到验证的价值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业务对象价值：投资逻辑、假设、指标、证据、状态和版本能够在同一产品中形成稳定关系。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流程价值：新增资料不再停留在摘要，而是可以进入假设级影响判断和人工复核队列。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治理价值：正式变化都有操作人、原因、数据时点和历史版本，支持事后回放。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工程价值：环境、迁移、任务、对象存储、检索和评测均具备可复现入口，三条开发线已经统一。</w:t>
      </w:r>
    </w:p>
    <w:p>
      <w:pPr>
        <w:pStyle w:val="Heading2"/>
      </w:pPr>
      <w:r>
        <w:t>9.2 当前不能声称已经验证的价值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不能证明产品可以产生 Alpha、提高收益或直接形成可交易结论。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不能用固定案例和单人金标外推到全部行业、文档类型与机构研究流程。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尚无真实研究员采纳率、驳回率、平均复核耗时和任务完成率，因此不能量化节省工时。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本地完整环境可运行不等于共享生产环境已经达到安全、稳定和灾备要求。</w:t>
      </w:r>
    </w:p>
    <w:p>
      <w:pPr>
        <w:pStyle w:val="Heading2"/>
      </w:pPr>
      <w:r>
        <w:t>9.3 主要风险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1400"/>
        <w:gridCol w:w="2600"/>
        <w:gridCol w:w="4200"/>
        <w:gridCol w:w="11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风险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当前证据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控制措施</w:t>
            </w:r>
          </w:p>
        </w:tc>
        <w:tc>
          <w:tcPr>
            <w:tcW w:type="dxa" w:w="1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等级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效果风险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方向判断 30.8%，Top-1 引用 30.5%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保持人工复核；优化标注、embedding、查询构造、重排和引用对齐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AE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6"/>
              </w:rPr>
              <w:t>高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标注风险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当前金标为单人独立盲标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第二名研究员复标至少 20%，计算一致性并处理争议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AE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6"/>
              </w:rPr>
              <w:t>高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身份与权限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共享环境 RBAC 尚未闭环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接入机构 OIDC/JWT、团队同步和越权回归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AE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6"/>
              </w:rPr>
              <w:t>高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可观测性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缺指标、集中日志、追踪与告警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建立 API/Worker/模型/队列 SLO 和告警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AE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6"/>
              </w:rPr>
              <w:t>高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灾备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本机恢复通过，跨机器/PITR 未完成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异机复制、WAL/PITR 和定期恢复演练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1E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6"/>
              </w:rPr>
              <w:t>中高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容量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未在目标用户与资料规模正式压测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6"/>
              </w:rPr>
              <w:t>定义容量模型并完成重启、故障、多实例和压力测试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1E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2313F"/>
                <w:sz w:val="16"/>
              </w:rPr>
              <w:t>中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NEXT PHASE</w:t>
      </w:r>
    </w:p>
    <w:p>
      <w:pPr>
        <w:pStyle w:val="Heading1"/>
      </w:pPr>
      <w:r>
        <w:t>十、下一阶段计划与验收标准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推进原则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安全与可复算优先于自动化范围，真实用户指标优先于功能数量。第二阶段不建议无边界增加本地功能，也不建议仅为技术先进性拆分微服务。</w:t>
            </w:r>
          </w:p>
        </w:tc>
      </w:tr>
    </w:tbl>
    <w:p>
      <w:pPr>
        <w:spacing w:after="0"/>
      </w:pPr>
    </w:p>
    <w:p>
      <w:pPr>
        <w:pStyle w:val="Heading2"/>
      </w:pPr>
      <w:r>
        <w:t>10.1 P0：共享试点前必须完成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工作包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主要内容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验收标准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身份与 RBAC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OIDC/JWT、角色与团队同步；trusted headers 仅限 local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多用户、跨团队、对象与检索越权用例全部通过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密钥与部署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共享环境配置、密钥管理、最小权限和网络边界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试点主机不静态暴露敏感密钥，非本地安全配置缺失时拒绝启动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可观测性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结构化日志、Prometheus/OpenTelemetry、trace、告警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API/Worker/队列/模型有 SLO、积压和失败告警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灾备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跨机器备份、WAL/PITR、对象版本复制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在隔离环境满足 RPO/RTO 并通过随机原文哈希核验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容量与故障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目标规模压测、依赖故障、重启、多实例演练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关键列表/详情/处理时延达到业务确认门槛</w:t>
            </w:r>
          </w:p>
        </w:tc>
      </w:tr>
    </w:tbl>
    <w:p>
      <w:pPr>
        <w:spacing w:after="0"/>
      </w:pPr>
    </w:p>
    <w:p>
      <w:pPr>
        <w:pStyle w:val="Heading2"/>
      </w:pPr>
      <w:r>
        <w:t>10.2 P1：小流量业务与效果验证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组织不少于 5 名研究员，覆盖真实任务和真实授权资料，记录任务完成率、采纳/驳回、复核耗时和反馈。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第二标注人复标至少 20%，建立标注一致性；优化方向判断和假设匹配。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替换为正式中文 embedding，同时保留现有向量版本；加入重排和引用对齐评测。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RAG 先保持关闭，只有引用、权限和稳定性门槛通过后才启用默认 5% 稳定分流。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每次试点保存实验分组、召回集合、人工处置和后续行动，避免只看离线召回。</w:t>
      </w:r>
    </w:p>
    <w:p>
      <w:pPr>
        <w:pStyle w:val="Heading2"/>
      </w:pPr>
      <w:r>
        <w:t>10.3 建议的里程碑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2000"/>
        <w:gridCol w:w="3400"/>
        <w:gridCol w:w="39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里程碑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目标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核心产出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M1 · 共享环境准入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完成 P0 安全与运维基线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OIDC/RBAC、secrets、observability、异机灾备、容量基线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M2 · 小规模真实试点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验证产品是否减少重复阅读并提高复核效率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用户任务数据、采纳/驳回、耗时、问题清单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M3 · 受控 RAG 分流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验证检索是否提高假设匹配与引用质量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5% 分流、无泄漏、引用与人工采纳指标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M4 · 扩围评审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决定是否扩行业、扩用户或拆分服务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业务价值、安全、效果、容量和成本联合评审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DECISIONS REQUIRED</w:t>
      </w:r>
    </w:p>
    <w:p>
      <w:pPr>
        <w:pStyle w:val="Heading1"/>
      </w:pPr>
      <w:r>
        <w:t>十一、需要协调的资源与决策</w:t>
      </w:r>
    </w:p>
    <w:p>
      <w:pPr>
        <w:pStyle w:val="Heading2"/>
      </w:pPr>
      <w:r>
        <w:t>11.1 建议本次中期汇报争取的四项共识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决策项</w:t>
            </w:r>
          </w:p>
        </w:tc>
        <w:tc>
          <w:tcPr>
            <w:tcW w:type="dxa" w:w="7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建议口径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阶段认定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确认第一阶段按“工程化 MVP 完成、进入试点准备”收口，而非按生产系统验收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优先级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下一阶段先完成 P0 身份、权限、可观测性和灾备，再扩展自动化能力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业务资源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提供不少于 5 名研究员和第二标注人，安排真实任务、小流量使用和反馈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数据与环境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明确试点授权资料、共享部署环境、身份接入和密钥管理责任人</w:t>
            </w:r>
          </w:p>
        </w:tc>
      </w:tr>
    </w:tbl>
    <w:p>
      <w:pPr>
        <w:spacing w:after="0"/>
      </w:pPr>
    </w:p>
    <w:p>
      <w:pPr>
        <w:pStyle w:val="Heading2"/>
      </w:pPr>
      <w:r>
        <w:t>11.2 项目团队承诺的下一步输出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共享试点环境安全清单和验收记录。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真实用户试点任务设计、过程数据和复盘报告。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第二轮效果评测与 RAG 分流报告，明确样本、分母、限制和不可外推范围。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跨机器备份与恢复演练记录，以及目标容量和故障演练结果。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3F716D"/>
          <w:left w:val="single" w:sz="8" w:color="3F716D"/>
          <w:bottom w:val="single" w:sz="8" w:color="3F716D"/>
          <w:right w:val="single" w:sz="8" w:color="3F716D"/>
          <w:insideH w:val="single" w:sz="8" w:color="3F716D"/>
          <w:insideV w:val="single" w:sz="8" w:color="3F716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3F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3F716D"/>
                <w:sz w:val="20"/>
              </w:rPr>
              <w:t xml:space="preserve">建议决策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同意项目进入“P0 安全加固 + P1 小规模业务验证”阶段；暂不扩大自动化决策范围，暂不将 RAG 默认开启，暂不以投资收益作为当前阶段验收指标。</w:t>
            </w:r>
          </w:p>
        </w:tc>
      </w:tr>
    </w:tbl>
    <w:p>
      <w:pPr>
        <w:spacing w:after="0"/>
      </w:pPr>
    </w:p>
    <w:p>
      <w:pPr>
        <w:pStyle w:val="Heading2"/>
      </w:pPr>
      <w:r>
        <w:t>11.3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维度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进入扩围评审的最低条件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安全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越权结果为 0；正式身份与角色闭环；敏感配置受控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稳定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关键链路有 SLO 和告警；故障恢复与跨机器灾备通过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效果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假设匹配、方向判断和引用正确率达到业务确认门槛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用户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不少于 5 名研究员完成真实任务，并形成采纳、驳回和耗时数据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治理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8"/>
              </w:rPr>
              <w:t>每个正式结论可回到原文、数据时点、版本、规则和人工原因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PRESENTATION NOTES</w:t>
      </w:r>
    </w:p>
    <w:p>
      <w:pPr>
        <w:pStyle w:val="Heading1"/>
      </w:pPr>
      <w:r>
        <w:t>十二、汇报口径与预期问答</w:t>
      </w:r>
    </w:p>
    <w:p>
      <w:pPr>
        <w:pStyle w:val="Heading2"/>
      </w:pPr>
      <w:r>
        <w:t>12.1 建议的 90 秒开场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开场稿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我们做的不是一个自动写研报或给买卖建议的聊天机器人，而是一套围绕投资逻辑持续验证的研究协作产品。第一阶段已经把核心对象、两条业务闭环、AI 人工边界、异步任务、研究资产、版本审计和效果评测做成了可运行系统。今天重点汇报三件事：产品闭环是否成立、工程底座是否可靠、下一阶段如何以安全和真实用户数据验证价值。</w:t>
            </w:r>
          </w:p>
        </w:tc>
      </w:tr>
    </w:tbl>
    <w:p>
      <w:pPr>
        <w:spacing w:after="0"/>
      </w:pPr>
    </w:p>
    <w:p>
      <w:pPr>
        <w:pStyle w:val="Heading2"/>
      </w:pPr>
      <w:r>
        <w:t>12.2 预期问题与回答要点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可能提问</w:t>
            </w:r>
          </w:p>
        </w:tc>
        <w:tc>
          <w:tcPr>
            <w:tcW w:type="dxa" w:w="6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447"/>
                <w:sz w:val="18"/>
              </w:rPr>
              <w:t>回答要点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为什么不让 AI 自动改变状态？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状态涉及正式研究结论。当前架构让 AI 负责语义候选、程序负责计算、人负责决定，避免高置信模型输出越过业务责任。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RAG 已经做好了吗？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基础设施和混合召回已完成，但 Top-1 引用正确率只有 30.5%，因此默认关闭；下一阶段按门槛和稳定分流推进。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为什么没有拆微服务？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当前复杂度在领域一致性和审计，不在独立扩缩容。模块化单体通过 import-linter 保持边界，未来有真实吞吐或组织边界再拆。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系统现在能部署吗？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本地完整环境可一键启动并通过 readiness；共享试点仍需 OIDC/RBAC、secrets、监控告警、跨机灾备和容量验证。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目前最大的效果问题是什么？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方向判断准确率 30.8%，假设匹配 71.2%，引用正确率 30.5%；必须继续人工复核并完善标注与检索。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如何证明产品有业务价值？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下一阶段不以模型分数代替业务价值，而是观察真实任务完成率、候选采纳/驳回、复核耗时、重复提醒和后续行动。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如何控制数据泄漏？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默认 local provider 不外发；检索先做权限和时间过滤；证据可见范围不宽于原文；原件以 Object Lock 归档。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能证明投资有效性吗？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22313F"/>
                <w:sz w:val="17"/>
              </w:rPr>
              <w:t>不能。当前验证的是研究流程、可追溯性和辅助效果，不构成 Alpha、收益或交易有效性证明。</w:t>
            </w:r>
          </w:p>
        </w:tc>
      </w:tr>
    </w:tbl>
    <w:p>
      <w:pPr>
        <w:spacing w:after="0"/>
      </w:pPr>
    </w:p>
    <w:p>
      <w:pPr>
        <w:pStyle w:val="Heading2"/>
      </w:pPr>
      <w:r>
        <w:t>12.3 汇报时避免的表述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避免说“AI 自动发现重大风险”；应说“AI 生成候选，程序计算状态建议，研究员确认正式状态”。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避免说“RAG 效果很好”；应同时给出 Recall、Top-1 引用正确率和默认关闭边界。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避免说“已经生产就绪”；应说“本地工程化 MVP 就绪，进入共享试点准备”。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避免把候选证据数量当作用户价值；真实用户处置数据目前尚未形成。</w:t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 w:eastAsia="Microsoft YaHei"/>
          <w:b/>
          <w:caps/>
          <w:color w:val="3F716D"/>
          <w:sz w:val="18"/>
        </w:rPr>
        <w:t>CONCLUSION</w:t>
      </w:r>
    </w:p>
    <w:p>
      <w:pPr>
        <w:pStyle w:val="Heading1"/>
      </w:pPr>
      <w:r>
        <w:t>十三、结论</w:t>
      </w:r>
    </w:p>
    <w:p>
      <w:pPr>
        <w:spacing w:after="120"/>
        <w:jc w:val="left"/>
      </w:pPr>
      <w:r>
        <w:rPr>
          <w:rFonts w:ascii="Calibri" w:hAnsi="Calibri" w:eastAsia="Microsoft YaHei"/>
        </w:rPr>
        <w:t>第一阶段最重要的成果不是增加一个资讯摘要页面，而是建立了一个围绕投资逻辑运转的研究对象、工作流和数据治理基础：研究判断可以结构化，新增事实可以关联到具体假设，指标和状态规则可以复算，正式变化必须人工确认，历史结论可以根据当时可得信息回放。</w:t>
      </w:r>
    </w:p>
    <w:p>
      <w:pPr>
        <w:spacing w:after="120"/>
        <w:jc w:val="left"/>
      </w:pPr>
      <w:r>
        <w:rPr>
          <w:rFonts w:ascii="Calibri" w:hAnsi="Calibri" w:eastAsia="Microsoft YaHei"/>
        </w:rPr>
        <w:t>工程侧已经完成通用网页、固定场景、FastAPI 服务、Agent Runtime、异步任务、PostgreSQL/pgvector、Redis、MinIO、版本、权限过滤、审计、备份恢复、独立评测和受控 RAG 试点；效果侧也如实暴露了方向判断、引用正确率、标注一致性和真实用户数据不足。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最终判断  </w:t>
            </w:r>
            <w:r>
              <w:rPr>
                <w:rFonts w:ascii="Calibri" w:hAnsi="Calibri" w:eastAsia="Microsoft YaHei"/>
                <w:color w:val="22313F"/>
                <w:sz w:val="21"/>
              </w:rPr>
              <w:t>项目已经具备继续开发和受控试点准备的可靠基础。建议下一阶段保持“安全与可复算优先于自动化范围，真实用户指标优先于功能数量”，先完成 P0 安全与运维准入，再以小规模真实任务决定是否扩围。</w:t>
            </w:r>
          </w:p>
        </w:tc>
      </w:tr>
    </w:tbl>
    <w:p>
      <w:pPr>
        <w:spacing w:after="0"/>
      </w:pPr>
    </w:p>
    <w:p>
      <w:pPr>
        <w:pStyle w:val="Heading2"/>
      </w:pPr>
      <w:r>
        <w:t>附录 A：复现与演示入口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CE2"/>
          <w:left w:val="single" w:sz="6" w:color="D6DCE2"/>
          <w:bottom w:val="single" w:sz="6" w:color="D6DCE2"/>
          <w:right w:val="single" w:sz="6" w:color="D6DCE2"/>
          <w:insideH w:val="single" w:sz="6" w:color="D6DCE2"/>
          <w:insideV w:val="single" w:sz="6" w:color="D6DCE2"/>
        </w:tblBorders>
      </w:tblPr>
      <w:tblGrid>
        <w:gridCol w:w="9360"/>
      </w:tblGrid>
      <w:tr>
        <w:tc>
          <w:tcPr>
            <w:tcW w:type="dxa" w:w="9360"/>
            <w:shd w:fill="F6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2313F"/>
                <w:sz w:val="18"/>
              </w:rPr>
              <w:t>cd E:\product\AI-Investment-Copilot</w:t>
            </w:r>
            <w:r>
              <w:br/>
            </w:r>
            <w:r>
              <w:rPr>
                <w:rFonts w:ascii="Consolas" w:hAnsi="Consolas" w:eastAsia="Microsoft YaHei"/>
                <w:color w:val="22313F"/>
                <w:sz w:val="18"/>
              </w:rPr>
              <w:t>.\scripts\dev.ps1 up</w:t>
            </w:r>
            <w:r>
              <w:br/>
            </w:r>
            <w:r>
              <w:rPr>
                <w:rFonts w:ascii="Consolas" w:hAnsi="Consolas" w:eastAsia="Microsoft YaHei"/>
                <w:color w:val="22313F"/>
                <w:sz w:val="18"/>
              </w:rPr>
              <w:t>.\scripts\dev.ps1 status</w:t>
            </w:r>
            <w:r>
              <w:br/>
            </w:r>
            <w:r>
              <w:rPr>
                <w:rFonts w:ascii="Consolas" w:hAnsi="Consolas" w:eastAsia="Microsoft YaHei"/>
                <w:color w:val="22313F"/>
                <w:sz w:val="18"/>
              </w:rPr>
              <w:t># 产品：http://127.0.0.1:5173</w:t>
            </w:r>
            <w:r>
              <w:br/>
            </w:r>
            <w:r>
              <w:rPr>
                <w:rFonts w:ascii="Consolas" w:hAnsi="Consolas" w:eastAsia="Microsoft YaHei"/>
                <w:color w:val="22313F"/>
                <w:sz w:val="18"/>
              </w:rPr>
              <w:t># API readiness：http://127.0.0.1:8000/health/ready</w:t>
            </w:r>
            <w:r>
              <w:br/>
            </w:r>
            <w:r>
              <w:rPr>
                <w:rFonts w:ascii="Consolas" w:hAnsi="Consolas" w:eastAsia="Microsoft YaHei"/>
                <w:color w:val="22313F"/>
                <w:sz w:val="18"/>
              </w:rPr>
              <w:t># MinIO 控制台：http://127.0.0.1:9001</w:t>
            </w:r>
          </w:p>
        </w:tc>
      </w:tr>
    </w:tbl>
    <w:p>
      <w:pPr>
        <w:pStyle w:val="Heading2"/>
      </w:pPr>
      <w:r>
        <w:t>附录 B：主要依据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docs/reports/第一阶段项目报告.md（V1.1，三分支集成版）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docs/reports/第一阶段技术报告.md（V1.1，迁移版本 0011）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docs/collaboration/20260812-开发进展与下一步计划.md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docs/operations/P1-效果评测与RAG试点.md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analytics/experiments/20260813-p1-evaluation-rag-pilot/README.md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phase1-integrated 分支代码与本地 readiness 验证</w:t>
      </w:r>
    </w:p>
    <w:p>
      <w:pPr>
        <w:spacing w:before="280" w:after="0"/>
        <w:jc w:val="center"/>
      </w:pPr>
      <w:r>
        <w:rPr>
          <w:rFonts w:ascii="Calibri" w:hAnsi="Calibri" w:eastAsia="Microsoft YaHei"/>
          <w:b/>
          <w:color w:val="A4514C"/>
          <w:sz w:val="18"/>
        </w:rPr>
        <w:t>本项目及本报告仅用于投研流程和研究辅助能力建设，不构成证券研究结论或投资建议。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D6C77"/>
        <w:sz w:val="16"/>
      </w:rPr>
      <w:t xml:space="preserve">内部汇报材料  ·  </w:t>
    </w:r>
    <w:r>
      <w:rPr>
        <w:rFonts w:ascii="Calibri" w:hAnsi="Calibri" w:eastAsia="Microsoft YaHei"/>
        <w:color w:val="5D6C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D6C77"/>
        <w:sz w:val="17"/>
      </w:rPr>
      <w:t>AI INVESTMENT COPILOT  |  项目中期汇报</w:t>
    </w:r>
    <w:r>
      <w:rPr>
        <w:rFonts w:ascii="Calibri" w:hAnsi="Calibri" w:eastAsia="Microsoft YaHei"/>
        <w:color w:val="2E74B5"/>
        <w:sz w:val="16"/>
      </w:rPr>
      <w:t xml:space="preserve">    PHASE 1 · 2026.08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Investment Copilot 项目中期汇报</dc:title>
  <dc:subject>第一阶段成果、技术架构、质量评测与下一阶段计划</dc:subject>
  <dc:creator>AI Investment Copilot 项目团队</dc:creator>
  <cp:keywords>AI投研, 中期汇报, 工程化MVP, RAG, 人工闸门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