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left"/>
      </w:pPr>
      <w:r>
        <w:rPr>
          <w:rFonts w:ascii="Calibri" w:hAnsi="Calibri" w:eastAsia="Microsoft YaHei"/>
          <w:b/>
          <w:color w:val="234E70"/>
          <w:sz w:val="48"/>
        </w:rPr>
        <w:t>样例案例说明与人工标注规范</w:t>
      </w:r>
    </w:p>
    <w:p>
      <w:pPr>
        <w:spacing w:after="440"/>
      </w:pPr>
      <w:r>
        <w:rPr>
          <w:rFonts w:ascii="Calibri" w:hAnsi="Calibri" w:eastAsia="Microsoft YaHei"/>
          <w:b w:val="0"/>
          <w:color w:val="5E6C78"/>
          <w:sz w:val="26"/>
        </w:rPr>
        <w:t>虚拟储能公司端到端案例：从投资逻辑到候选信号与事后标签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  <w:tblLayout w:type="fixed"/>
      </w:tblPr>
      <w:tblGrid>
        <w:gridCol w:w="1900"/>
        <w:gridCol w:w="7460"/>
      </w:tblGrid>
      <w:tr>
        <w:tc>
          <w:tcPr>
            <w:tcW w:type="dxa" w:w="19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34E70"/>
                <w:sz w:val="19"/>
              </w:rPr>
              <w:t>文档版本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V1.0</w:t>
            </w:r>
          </w:p>
        </w:tc>
      </w:tr>
      <w:tr>
        <w:tc>
          <w:tcPr>
            <w:tcW w:type="dxa" w:w="19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34E70"/>
                <w:sz w:val="19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2026-08-02</w:t>
            </w:r>
          </w:p>
        </w:tc>
      </w:tr>
      <w:tr>
        <w:tc>
          <w:tcPr>
            <w:tcW w:type="dxa" w:w="19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34E70"/>
                <w:sz w:val="19"/>
              </w:rPr>
              <w:t>适用阶段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MVP需求澄清、数据建设、联调与验收</w:t>
            </w:r>
          </w:p>
        </w:tc>
      </w:tr>
      <w:tr>
        <w:tc>
          <w:tcPr>
            <w:tcW w:type="dxa" w:w="19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34E70"/>
                <w:sz w:val="19"/>
              </w:rPr>
              <w:t>配套文件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产品需求文档（PRD）V1.2、产品整体架构图（MVP）V1.2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Borders>
          <w:top w:val="single" w:sz="8" w:space="0" w:color="A33A3A"/>
          <w:left w:val="single" w:sz="8" w:space="0" w:color="A33A3A"/>
          <w:bottom w:val="single" w:sz="8" w:space="0" w:color="A33A3A"/>
          <w:right w:val="single" w:sz="8" w:space="0" w:color="A33A3A"/>
          <w:insideH w:val="single" w:sz="8" w:space="0" w:color="A33A3A"/>
          <w:insideV w:val="single" w:sz="8" w:space="0" w:color="A33A3A"/>
        </w:tblBorders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BEA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A33A3A"/>
                <w:sz w:val="21"/>
              </w:rPr>
              <w:t>演示数据声明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本文及配套CSV/JSON中的公司、数据、事件和收益均为虚构，只用于说明字段、计算和标注流程，不构成投资建议，也不能用于评价任何真实证券。</w:t>
            </w:r>
          </w:p>
        </w:tc>
      </w:tr>
    </w:tbl>
    <w:p>
      <w:pPr>
        <w:spacing w:after="40"/>
      </w:pPr>
    </w:p>
    <w:p>
      <w:pPr>
        <w:pStyle w:val="Heading1"/>
      </w:pPr>
      <w:r>
        <w:t>1. 案例目标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  <w:sz w:val="21"/>
        </w:rPr>
        <w:t>用一个完整案例帮助产品经理、数据分析师、架构师和算法人员对齐：原始资料如何进入系统，如何形成投资逻辑、假设、指标、事件、AI信号、人工复核和事后结果。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案例项</w:t>
            </w:r>
          </w:p>
        </w:tc>
        <w:tc>
          <w:tcPr>
            <w:tcW w:type="dxa" w:w="676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设定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虚拟公司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华夏储能科技（证券代码 DEMO001）</w:t>
            </w:r>
          </w:p>
        </w:tc>
      </w:tr>
      <w:tr>
        <w:tc>
          <w:tcPr>
            <w:tcW w:type="dxa" w:w="26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研究主题</w:t>
            </w:r>
          </w:p>
        </w:tc>
        <w:tc>
          <w:tcPr>
            <w:tcW w:type="dxa" w:w="67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海外大型储能订单增长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投资逻辑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海外大型储能订单增长将在未来四个季度推动收入和利润改善</w:t>
            </w:r>
          </w:p>
        </w:tc>
      </w:tr>
      <w:tr>
        <w:tc>
          <w:tcPr>
            <w:tcW w:type="dxa" w:w="26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观察期限</w:t>
            </w:r>
          </w:p>
        </w:tc>
        <w:tc>
          <w:tcPr>
            <w:tcW w:type="dxa" w:w="67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2026-01-15至2027-01-15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核心信号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订单变化、海外政策、管理层表述、毛利率兑现</w:t>
            </w:r>
          </w:p>
        </w:tc>
      </w:tr>
      <w:tr>
        <w:tc>
          <w:tcPr>
            <w:tcW w:type="dxa" w:w="26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验证方式</w:t>
            </w:r>
          </w:p>
        </w:tc>
        <w:tc>
          <w:tcPr>
            <w:tcW w:type="dxa" w:w="67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基本面预期差 + 事件方向 + 探索性行业中性超额收益</w:t>
            </w:r>
          </w:p>
        </w:tc>
      </w:tr>
    </w:tbl>
    <w:p>
      <w:pPr>
        <w:spacing w:after="40"/>
      </w:pPr>
    </w:p>
    <w:p>
      <w:pPr>
        <w:pStyle w:val="Heading1"/>
      </w:pPr>
      <w:r>
        <w:t>2. 人工确认的投资逻辑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1900"/>
        <w:gridCol w:w="5000"/>
        <w:gridCol w:w="2460"/>
      </w:tblGrid>
      <w:tr>
        <w:tc>
          <w:tcPr>
            <w:tcW w:type="dxa" w:w="19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0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6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重要程度/规则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核心观点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海外大型储能订单增长将在未来四个季度推动收入和利润改善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正向；观察期12个月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H1 海外需求</w:t>
            </w:r>
          </w:p>
        </w:tc>
        <w:tc>
          <w:tcPr>
            <w:tcW w:type="dxa" w:w="50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海外大型储能装机需求保持增长</w:t>
            </w:r>
          </w:p>
        </w:tc>
        <w:tc>
          <w:tcPr>
            <w:tcW w:type="dxa" w:w="24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核心；行业装机同比持续为正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H2 订单兑现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新增订单能够在计划周期内转化为收入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核心；海外收入同比不低于15%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H3 盈利质量</w:t>
            </w:r>
          </w:p>
        </w:tc>
        <w:tc>
          <w:tcPr>
            <w:tcW w:type="dxa" w:w="50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海外项目毛利率不会因竞争和交付成本显著下降</w:t>
            </w:r>
          </w:p>
        </w:tc>
        <w:tc>
          <w:tcPr>
            <w:tcW w:type="dxa" w:w="24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核心；毛利率不低于18%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失效条件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海外收入连续两个季度低于预期且毛利率低于18%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触发逻辑复核，不自动卖出</w:t>
            </w:r>
          </w:p>
        </w:tc>
      </w:tr>
    </w:tbl>
    <w:p>
      <w:pPr>
        <w:spacing w:after="40"/>
      </w:pPr>
    </w:p>
    <w:p>
      <w:pPr>
        <w:pStyle w:val="Heading1"/>
      </w:pPr>
      <w:r>
        <w:t>3. 原始资料与预期抽取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  <w:sz w:val="21"/>
        </w:rPr>
        <w:t>配套文件“样例投研资料.txt”包含五段虚构资料。AI需要抽取事实、观点和不确定性，并保留原始证据位置。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1900"/>
        <w:gridCol w:w="2400"/>
        <w:gridCol w:w="5060"/>
      </w:tblGrid>
      <w:tr>
        <w:tc>
          <w:tcPr>
            <w:tcW w:type="dxa" w:w="19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资料编号</w:t>
            </w:r>
          </w:p>
        </w:tc>
        <w:tc>
          <w:tcPr>
            <w:tcW w:type="dxa" w:w="24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资料类型</w:t>
            </w:r>
          </w:p>
        </w:tc>
        <w:tc>
          <w:tcPr>
            <w:tcW w:type="dxa" w:w="506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预期抽取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DOC-DEMO-001</w:t>
            </w:r>
          </w:p>
        </w:tc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内部研究摘要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核心观点、H1-H3、验证指标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DOC-DEMO-002</w:t>
            </w:r>
          </w:p>
        </w:tc>
        <w:tc>
          <w:tcPr>
            <w:tcW w:type="dxa" w:w="24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虚拟公司公告</w:t>
            </w:r>
          </w:p>
        </w:tc>
        <w:tc>
          <w:tcPr>
            <w:tcW w:type="dxa" w:w="50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海外订单增长事件，支持H2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DOC-DEMO-003</w:t>
            </w:r>
          </w:p>
        </w:tc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虚拟政策新闻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补贴收紧事件，削弱H1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DOC-DEMO-004</w:t>
            </w:r>
          </w:p>
        </w:tc>
        <w:tc>
          <w:tcPr>
            <w:tcW w:type="dxa" w:w="24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虚拟业绩说明会</w:t>
            </w:r>
          </w:p>
        </w:tc>
        <w:tc>
          <w:tcPr>
            <w:tcW w:type="dxa" w:w="50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管理层语气转谨慎，削弱H2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DOC-DEMO-005</w:t>
            </w:r>
          </w:p>
        </w:tc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虚拟季度财报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海外收入和毛利率兑现情况</w:t>
            </w:r>
          </w:p>
        </w:tc>
      </w:tr>
    </w:tbl>
    <w:p>
      <w:pPr>
        <w:spacing w:after="40"/>
      </w:pPr>
    </w:p>
    <w:p>
      <w:pPr>
        <w:pStyle w:val="Heading1"/>
      </w:pPr>
      <w:r>
        <w:t>4. 标注单位与规则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事实与判断分开：公告中的订单金额是事实，‘将显著提升利润’属于判断。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发生时间与披露时间分开：无法确认发生时间时允许为空，但披露时间必须填写。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影响对象必须具体到核心假设，不只标注到公司。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支持/削弱代表对投资假设的影响方向，不代表股价必然上涨或下跌。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低置信度或证据冲突的样本标记“需人工复核”，不得强制归类。</w:t>
      </w:r>
    </w:p>
    <w:p>
      <w:pPr>
        <w:pStyle w:val="Heading1"/>
      </w:pPr>
      <w:r>
        <w:t>5. 事件标注字段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9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填写规则</w:t>
            </w:r>
          </w:p>
        </w:tc>
        <w:tc>
          <w:tcPr>
            <w:tcW w:type="dxa" w:w="356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案例示例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event_id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唯一编号，不复用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EVT-DEMO-001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document_id</w:t>
            </w:r>
          </w:p>
        </w:tc>
        <w:tc>
          <w:tcPr>
            <w:tcW w:type="dxa" w:w="3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关联原始资料</w:t>
            </w:r>
          </w:p>
        </w:tc>
        <w:tc>
          <w:tcPr>
            <w:tcW w:type="dxa" w:w="3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DOC-DEMO-002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event_type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使用受控枚举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订单/政策/管理层表述/业绩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event_time</w:t>
            </w:r>
          </w:p>
        </w:tc>
        <w:tc>
          <w:tcPr>
            <w:tcW w:type="dxa" w:w="3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事实发生时间，可为空</w:t>
            </w:r>
          </w:p>
        </w:tc>
        <w:tc>
          <w:tcPr>
            <w:tcW w:type="dxa" w:w="3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2026-02-10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disclosure_time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首次公开可得时间，必填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2026-02-10 18:00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hypothesis_id</w:t>
            </w:r>
          </w:p>
        </w:tc>
        <w:tc>
          <w:tcPr>
            <w:tcW w:type="dxa" w:w="3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关联到具体假设</w:t>
            </w:r>
          </w:p>
        </w:tc>
        <w:tc>
          <w:tcPr>
            <w:tcW w:type="dxa" w:w="3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HYP-DEMO-002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direction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支持/削弱/中性/不确定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支持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horizon</w:t>
            </w:r>
          </w:p>
        </w:tc>
        <w:tc>
          <w:tcPr>
            <w:tcW w:type="dxa" w:w="3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短期/中期/长期</w:t>
            </w:r>
          </w:p>
        </w:tc>
        <w:tc>
          <w:tcPr>
            <w:tcW w:type="dxa" w:w="3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中期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evidence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尽量保留最小充分证据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新增海外订单金额同比增长</w:t>
            </w:r>
          </w:p>
        </w:tc>
      </w:tr>
      <w:tr>
        <w:tc>
          <w:tcPr>
            <w:tcW w:type="dxa" w:w="1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review_status</w:t>
            </w:r>
          </w:p>
        </w:tc>
        <w:tc>
          <w:tcPr>
            <w:tcW w:type="dxa" w:w="3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待复核/通过/修改/拒绝</w:t>
            </w:r>
          </w:p>
        </w:tc>
        <w:tc>
          <w:tcPr>
            <w:tcW w:type="dxa" w:w="3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t>6. 指标验证示例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1750"/>
        <w:gridCol w:w="1550"/>
        <w:gridCol w:w="1250"/>
        <w:gridCol w:w="2500"/>
        <w:gridCol w:w="2310"/>
      </w:tblGrid>
      <w:tr>
        <w:tc>
          <w:tcPr>
            <w:tcW w:type="dxa" w:w="175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5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25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5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确定性计算</w:t>
            </w:r>
          </w:p>
        </w:tc>
        <w:tc>
          <w:tcPr>
            <w:tcW w:type="dxa" w:w="231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人工解释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海外收入同比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≥15%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18%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预期差 +3pct</w:t>
            </w:r>
          </w:p>
        </w:tc>
        <w:tc>
          <w:tcPr>
            <w:tcW w:type="dxa" w:w="2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支持H2，但仍需观察持续性</w:t>
            </w:r>
          </w:p>
        </w:tc>
      </w:tr>
      <w:tr>
        <w:tc>
          <w:tcPr>
            <w:tcW w:type="dxa" w:w="175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海外项目毛利率</w:t>
            </w:r>
          </w:p>
        </w:tc>
        <w:tc>
          <w:tcPr>
            <w:tcW w:type="dxa" w:w="155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≥18%</w:t>
            </w:r>
          </w:p>
        </w:tc>
        <w:tc>
          <w:tcPr>
            <w:tcW w:type="dxa" w:w="125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17%</w:t>
            </w:r>
          </w:p>
        </w:tc>
        <w:tc>
          <w:tcPr>
            <w:tcW w:type="dxa" w:w="25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低于阈值1pct</w:t>
            </w:r>
          </w:p>
        </w:tc>
        <w:tc>
          <w:tcPr>
            <w:tcW w:type="dxa" w:w="231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削弱H3，未单独触发失效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行业装机同比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&gt;0%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12%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保持正增长</w:t>
            </w:r>
          </w:p>
        </w:tc>
        <w:tc>
          <w:tcPr>
            <w:tcW w:type="dxa" w:w="2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支持H1</w:t>
            </w:r>
          </w:p>
        </w:tc>
      </w:tr>
      <w:tr>
        <w:tc>
          <w:tcPr>
            <w:tcW w:type="dxa" w:w="175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失效条件</w:t>
            </w:r>
          </w:p>
        </w:tc>
        <w:tc>
          <w:tcPr>
            <w:tcW w:type="dxa" w:w="155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收入连续两季低预期且毛利率&lt;18%</w:t>
            </w:r>
          </w:p>
        </w:tc>
        <w:tc>
          <w:tcPr>
            <w:tcW w:type="dxa" w:w="125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仅毛利率不达标</w:t>
            </w:r>
          </w:p>
        </w:tc>
        <w:tc>
          <w:tcPr>
            <w:tcW w:type="dxa" w:w="25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未满足全部条件</w:t>
            </w:r>
          </w:p>
        </w:tc>
        <w:tc>
          <w:tcPr>
            <w:tcW w:type="dxa" w:w="231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状态改为风险关注，不判定失效</w:t>
            </w:r>
          </w:p>
        </w:tc>
      </w:tr>
    </w:tbl>
    <w:p>
      <w:pPr>
        <w:spacing w:after="40"/>
      </w:pPr>
    </w:p>
    <w:p>
      <w:pPr>
        <w:pStyle w:val="Heading1"/>
      </w:pPr>
      <w:r>
        <w:t>7. 候选信号示例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2100"/>
        <w:gridCol w:w="900"/>
        <w:gridCol w:w="900"/>
        <w:gridCol w:w="3600"/>
        <w:gridCol w:w="1860"/>
      </w:tblGrid>
      <w:tr>
        <w:tc>
          <w:tcPr>
            <w:tcW w:type="dxa" w:w="21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9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9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强度</w:t>
            </w:r>
          </w:p>
        </w:tc>
        <w:tc>
          <w:tcPr>
            <w:tcW w:type="dxa" w:w="36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AI依据</w:t>
            </w:r>
          </w:p>
        </w:tc>
        <w:tc>
          <w:tcPr>
            <w:tcW w:type="dxa" w:w="186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人工结论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海外订单超预期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正向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0.78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公告披露订单同比增长且超过研究预期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采纳，关联H2</w:t>
            </w:r>
          </w:p>
        </w:tc>
      </w:tr>
      <w:tr>
        <w:tc>
          <w:tcPr>
            <w:tcW w:type="dxa" w:w="21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政策补贴收紧</w:t>
            </w:r>
          </w:p>
        </w:tc>
        <w:tc>
          <w:tcPr>
            <w:tcW w:type="dxa" w:w="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负向</w:t>
            </w:r>
          </w:p>
        </w:tc>
        <w:tc>
          <w:tcPr>
            <w:tcW w:type="dxa" w:w="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0.66</w:t>
            </w:r>
          </w:p>
        </w:tc>
        <w:tc>
          <w:tcPr>
            <w:tcW w:type="dxa" w:w="36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政策降低项目收益率，可能影响需求</w:t>
            </w:r>
          </w:p>
        </w:tc>
        <w:tc>
          <w:tcPr>
            <w:tcW w:type="dxa" w:w="18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采纳，关联H1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管理层语气转谨慎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负向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0.58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由“快速增长”调整为“保持稳定”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修改为弱负向</w:t>
            </w:r>
          </w:p>
        </w:tc>
      </w:tr>
      <w:tr>
        <w:tc>
          <w:tcPr>
            <w:tcW w:type="dxa" w:w="21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毛利率低于阈值</w:t>
            </w:r>
          </w:p>
        </w:tc>
        <w:tc>
          <w:tcPr>
            <w:tcW w:type="dxa" w:w="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负向</w:t>
            </w:r>
          </w:p>
        </w:tc>
        <w:tc>
          <w:tcPr>
            <w:tcW w:type="dxa" w:w="9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0.82</w:t>
            </w:r>
          </w:p>
        </w:tc>
        <w:tc>
          <w:tcPr>
            <w:tcW w:type="dxa" w:w="36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实际17%，低于18%失效观察线</w:t>
            </w:r>
          </w:p>
        </w:tc>
        <w:tc>
          <w:tcPr>
            <w:tcW w:type="dxa" w:w="18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采纳，关联H3</w:t>
            </w:r>
          </w:p>
        </w:tc>
      </w:tr>
    </w:tbl>
    <w:p>
      <w:pPr>
        <w:spacing w:after="40"/>
      </w:pPr>
    </w:p>
    <w:p>
      <w:pPr>
        <w:pStyle w:val="Heading1"/>
      </w:pPr>
      <w:r>
        <w:t>8. 收益与基本面标签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  <w:sz w:val="21"/>
        </w:rPr>
        <w:t>样例台账提供虚拟的5日、20日和60日收益，只用于演示计算。正式实验应以信号首次可获得日为起点，使用复权价格并按事前确定的行业基准计算。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2500"/>
        <w:gridCol w:w="3400"/>
        <w:gridCol w:w="3460"/>
      </w:tblGrid>
      <w:tr>
        <w:tc>
          <w:tcPr>
            <w:tcW w:type="dxa" w:w="25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34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46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基本面兑现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海外收入同比18%，毛利率17%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判断逻辑的哪些部分得到支持</w:t>
            </w:r>
          </w:p>
        </w:tc>
      </w:tr>
      <w:tr>
        <w:tc>
          <w:tcPr>
            <w:tcW w:type="dxa" w:w="25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20日证券收益</w:t>
            </w:r>
          </w:p>
        </w:tc>
        <w:tc>
          <w:tcPr>
            <w:tcW w:type="dxa" w:w="34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4.0%</w:t>
            </w:r>
          </w:p>
        </w:tc>
        <w:tc>
          <w:tcPr>
            <w:tcW w:type="dxa" w:w="34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事件后市场表现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20日行业基准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1.5%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剔除同期行业共同变化</w:t>
            </w:r>
          </w:p>
        </w:tc>
      </w:tr>
      <w:tr>
        <w:tc>
          <w:tcPr>
            <w:tcW w:type="dxa" w:w="25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20日超额收益</w:t>
            </w:r>
          </w:p>
        </w:tc>
        <w:tc>
          <w:tcPr>
            <w:tcW w:type="dxa" w:w="34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2.5%</w:t>
            </w:r>
          </w:p>
        </w:tc>
        <w:tc>
          <w:tcPr>
            <w:tcW w:type="dxa" w:w="34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探索性信号结果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命中结果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正向信号且超额收益为正：命中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不能单独证明策略有效</w:t>
            </w:r>
          </w:p>
        </w:tc>
      </w:tr>
    </w:tbl>
    <w:p>
      <w:pPr>
        <w:spacing w:after="40"/>
      </w:pPr>
    </w:p>
    <w:p>
      <w:pPr>
        <w:pStyle w:val="Heading1"/>
      </w:pPr>
      <w:r>
        <w:t>9. 端到端验收步骤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导入样例资料并生成document_id，检查文本、时间、证券和引用位置。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生成投资逻辑卡片，对照人工标准答案检查观点、假设和指标。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导入事件标注，对照AI输出检查关联、方向和证据。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加载指标历史数据，计算预期差、同比趋势和失效条件。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生成候选信号并记录模型版本、提示词版本和首次可获得时间。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关联结果标签，计算简单基准调整后的超额收益。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在实验记录中比较AI语义方法与关键词基线。</w:t>
      </w:r>
    </w:p>
    <w:p>
      <w:pPr>
        <w:numPr>
          <w:ilvl w:val="0"/>
          <w:numId w:val="11"/>
        </w:numPr>
        <w:spacing w:before="0" w:after="10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输出有限结论和失败案例，不将虚拟结果外推为真实投资能力。</w:t>
      </w:r>
    </w:p>
    <w:p>
      <w:pPr>
        <w:pStyle w:val="Heading1"/>
      </w:pPr>
      <w:r>
        <w:t>10. 人工复核决策规则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DF"/>
          <w:left w:val="single" w:sz="6" w:space="0" w:color="CBD5DF"/>
          <w:bottom w:val="single" w:sz="6" w:space="0" w:color="CBD5DF"/>
          <w:right w:val="single" w:sz="6" w:space="0" w:color="CBD5DF"/>
          <w:insideH w:val="single" w:sz="6" w:space="0" w:color="CBD5DF"/>
          <w:insideV w:val="single" w:sz="6" w:space="0" w:color="CBD5DF"/>
        </w:tblBorders>
        <w:tblInd w:w="120" w:type="dxa"/>
      </w:tblPr>
      <w:tblGrid>
        <w:gridCol w:w="3800"/>
        <w:gridCol w:w="5560"/>
      </w:tblGrid>
      <w:tr>
        <w:tc>
          <w:tcPr>
            <w:tcW w:type="dxa" w:w="380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560"/>
            <w:shd w:fill="234E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证据明确且直接影响核心假设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允许通过，记录复核人和时间</w:t>
            </w:r>
          </w:p>
        </w:tc>
      </w:tr>
      <w:tr>
        <w:tc>
          <w:tcPr>
            <w:tcW w:type="dxa" w:w="38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证据方向明确但影响强度有争议</w:t>
            </w:r>
          </w:p>
        </w:tc>
        <w:tc>
          <w:tcPr>
            <w:tcW w:type="dxa" w:w="5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修改强度或期限，保留AI原值</w:t>
            </w:r>
          </w:p>
        </w:tc>
      </w:tr>
      <w:tr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事件相关但不影响任何核心假设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标记中性，不进入逻辑状态计算</w:t>
            </w:r>
          </w:p>
        </w:tc>
      </w:tr>
      <w:tr>
        <w:tc>
          <w:tcPr>
            <w:tcW w:type="dxa" w:w="38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来源不可靠或无法定位</w:t>
            </w:r>
          </w:p>
        </w:tc>
        <w:tc>
          <w:tcPr>
            <w:tcW w:type="dxa" w:w="5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拒绝并记录原因</w:t>
            </w:r>
          </w:p>
        </w:tc>
      </w:tr>
      <w:tr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多个指标结论冲突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状态标记“需复核”，不自动合成单一分数</w:t>
            </w:r>
          </w:p>
        </w:tc>
      </w:tr>
      <w:tr>
        <w:tc>
          <w:tcPr>
            <w:tcW w:type="dxa" w:w="38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触发失效条件</w:t>
            </w:r>
          </w:p>
        </w:tc>
        <w:tc>
          <w:tcPr>
            <w:tcW w:type="dxa" w:w="55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发起逻辑复核流程，不直接生成交易建议</w:t>
            </w:r>
          </w:p>
        </w:tc>
      </w:tr>
    </w:tbl>
    <w:p>
      <w:pPr>
        <w:spacing w:after="40"/>
      </w:pPr>
    </w:p>
    <w:p>
      <w:pPr>
        <w:pStyle w:val="Heading1"/>
      </w:pPr>
      <w:r>
        <w:t>附录. 配套文件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样例投研资料.txt：五段虚拟原始资料。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样例指标历史数据.csv：用于同比、趋势和预期差计算。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样例事件人工标注.csv：事件金标示例。</w:t>
      </w:r>
    </w:p>
    <w:p>
      <w:pPr>
        <w:numPr>
          <w:ilvl w:val="0"/>
          <w:numId w:val="10"/>
        </w:numPr>
        <w:spacing w:before="0" w:after="80" w:line="269" w:lineRule="auto"/>
      </w:pPr>
      <w:r>
        <w:rPr>
          <w:rFonts w:ascii="Calibri" w:hAnsi="Calibri" w:eastAsia="Microsoft YaHei"/>
          <w:b w:val="0"/>
          <w:color w:val="1F2933"/>
          <w:sz w:val="21"/>
        </w:rPr>
        <w:t>样例预期AI输出.json：结构化输出契约示例。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E6C78"/>
        <w:sz w:val="16"/>
      </w:rPr>
      <w:t xml:space="preserve">DA-CASE-001  ·  V1.0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E6C78"/>
        <w:sz w:val="17"/>
      </w:rPr>
      <w:t>AI Investment Copilot  |  数据分析与Alpha验证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34E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34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15F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