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left"/>
      </w:pPr>
      <w:r>
        <w:rPr>
          <w:rFonts w:ascii="Calibri" w:hAnsi="Calibri" w:eastAsia="Microsoft YaHei"/>
          <w:b/>
          <w:color w:val="234E70"/>
          <w:sz w:val="48"/>
        </w:rPr>
        <w:t>数据分析需求与Alpha验证说明书</w:t>
      </w:r>
    </w:p>
    <w:p>
      <w:pPr>
        <w:spacing w:after="440"/>
      </w:pPr>
      <w:r>
        <w:rPr>
          <w:rFonts w:ascii="Calibri" w:hAnsi="Calibri" w:eastAsia="Microsoft YaHei"/>
          <w:b w:val="0"/>
          <w:color w:val="5E6C78"/>
          <w:sz w:val="26"/>
        </w:rPr>
        <w:t>把投研资料、投资逻辑和AI信号转化为可计算、可验证、可复现的数据资产</w:t>
      </w:r>
    </w:p>
    <w:tbl>
      <w:tblPr>
        <w:tblW w:type="dxa" w:w="9360"/>
        <w:jc w:val="left"/>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Layout w:type="fixed"/>
      </w:tblPr>
      <w:tblGrid>
        <w:gridCol w:w="1900"/>
        <w:gridCol w:w="7460"/>
      </w:tblGrid>
      <w:tr>
        <w:tc>
          <w:tcPr>
            <w:tcW w:type="dxa" w:w="1900"/>
            <w:shd w:fill="EAF2F8"/>
            <w:vAlign w:val="center"/>
            <w:tcMar>
              <w:top w:w="80" w:type="dxa"/>
              <w:start w:w="120" w:type="dxa"/>
              <w:bottom w:w="80" w:type="dxa"/>
              <w:end w:w="120" w:type="dxa"/>
            </w:tcMar>
          </w:tcPr>
          <w:p>
            <w:pPr>
              <w:spacing w:before="0" w:after="0" w:line="264" w:lineRule="auto"/>
            </w:pPr>
            <w:r>
              <w:rPr>
                <w:rFonts w:ascii="Calibri" w:hAnsi="Calibri" w:eastAsia="Microsoft YaHei"/>
                <w:b/>
                <w:color w:val="234E70"/>
                <w:sz w:val="19"/>
              </w:rPr>
              <w:t>文档版本</w:t>
            </w:r>
          </w:p>
        </w:tc>
        <w:tc>
          <w:tcPr>
            <w:tcW w:type="dxa" w:w="7460"/>
            <w:vAlign w:val="center"/>
            <w:tcMar>
              <w:top w:w="80" w:type="dxa"/>
              <w:start w:w="120" w:type="dxa"/>
              <w:bottom w:w="80" w:type="dxa"/>
              <w:end w:w="120" w:type="dxa"/>
            </w:tcMar>
          </w:tcPr>
          <w:p>
            <w:pPr>
              <w:spacing w:before="0" w:after="0" w:line="264" w:lineRule="auto"/>
            </w:pPr>
            <w:r>
              <w:rPr>
                <w:rFonts w:ascii="Calibri" w:hAnsi="Calibri" w:eastAsia="Microsoft YaHei"/>
                <w:b w:val="0"/>
                <w:color w:val="1F2933"/>
                <w:sz w:val="19"/>
              </w:rPr>
              <w:t>V1.0</w:t>
            </w:r>
          </w:p>
        </w:tc>
      </w:tr>
      <w:tr>
        <w:tc>
          <w:tcPr>
            <w:tcW w:type="dxa" w:w="1900"/>
            <w:shd w:fill="EAF2F8"/>
            <w:vAlign w:val="center"/>
            <w:tcMar>
              <w:top w:w="80" w:type="dxa"/>
              <w:start w:w="120" w:type="dxa"/>
              <w:bottom w:w="80" w:type="dxa"/>
              <w:end w:w="120" w:type="dxa"/>
            </w:tcMar>
          </w:tcPr>
          <w:p>
            <w:pPr>
              <w:spacing w:before="0" w:after="0" w:line="264" w:lineRule="auto"/>
            </w:pPr>
            <w:r>
              <w:rPr>
                <w:rFonts w:ascii="Calibri" w:hAnsi="Calibri" w:eastAsia="Microsoft YaHei"/>
                <w:b/>
                <w:color w:val="234E70"/>
                <w:sz w:val="19"/>
              </w:rPr>
              <w:t>发布日期</w:t>
            </w:r>
          </w:p>
        </w:tc>
        <w:tc>
          <w:tcPr>
            <w:tcW w:type="dxa" w:w="7460"/>
            <w:vAlign w:val="center"/>
            <w:tcMar>
              <w:top w:w="80" w:type="dxa"/>
              <w:start w:w="120" w:type="dxa"/>
              <w:bottom w:w="80" w:type="dxa"/>
              <w:end w:w="120" w:type="dxa"/>
            </w:tcMar>
          </w:tcPr>
          <w:p>
            <w:pPr>
              <w:spacing w:before="0" w:after="0" w:line="264" w:lineRule="auto"/>
            </w:pPr>
            <w:r>
              <w:rPr>
                <w:rFonts w:ascii="Calibri" w:hAnsi="Calibri" w:eastAsia="Microsoft YaHei"/>
                <w:b w:val="0"/>
                <w:color w:val="1F2933"/>
                <w:sz w:val="19"/>
              </w:rPr>
              <w:t>2026-08-02</w:t>
            </w:r>
          </w:p>
        </w:tc>
      </w:tr>
      <w:tr>
        <w:tc>
          <w:tcPr>
            <w:tcW w:type="dxa" w:w="1900"/>
            <w:shd w:fill="EAF2F8"/>
            <w:vAlign w:val="center"/>
            <w:tcMar>
              <w:top w:w="80" w:type="dxa"/>
              <w:start w:w="120" w:type="dxa"/>
              <w:bottom w:w="80" w:type="dxa"/>
              <w:end w:w="120" w:type="dxa"/>
            </w:tcMar>
          </w:tcPr>
          <w:p>
            <w:pPr>
              <w:spacing w:before="0" w:after="0" w:line="264" w:lineRule="auto"/>
            </w:pPr>
            <w:r>
              <w:rPr>
                <w:rFonts w:ascii="Calibri" w:hAnsi="Calibri" w:eastAsia="Microsoft YaHei"/>
                <w:b/>
                <w:color w:val="234E70"/>
                <w:sz w:val="19"/>
              </w:rPr>
              <w:t>适用阶段</w:t>
            </w:r>
          </w:p>
        </w:tc>
        <w:tc>
          <w:tcPr>
            <w:tcW w:type="dxa" w:w="7460"/>
            <w:vAlign w:val="center"/>
            <w:tcMar>
              <w:top w:w="80" w:type="dxa"/>
              <w:start w:w="120" w:type="dxa"/>
              <w:bottom w:w="80" w:type="dxa"/>
              <w:end w:w="120" w:type="dxa"/>
            </w:tcMar>
          </w:tcPr>
          <w:p>
            <w:pPr>
              <w:spacing w:before="0" w:after="0" w:line="264" w:lineRule="auto"/>
            </w:pPr>
            <w:r>
              <w:rPr>
                <w:rFonts w:ascii="Calibri" w:hAnsi="Calibri" w:eastAsia="Microsoft YaHei"/>
                <w:b w:val="0"/>
                <w:color w:val="1F2933"/>
                <w:sz w:val="19"/>
              </w:rPr>
              <w:t>MVP需求澄清、数据建设、联调与验收</w:t>
            </w:r>
          </w:p>
        </w:tc>
      </w:tr>
      <w:tr>
        <w:tc>
          <w:tcPr>
            <w:tcW w:type="dxa" w:w="1900"/>
            <w:shd w:fill="EAF2F8"/>
            <w:vAlign w:val="center"/>
            <w:tcMar>
              <w:top w:w="80" w:type="dxa"/>
              <w:start w:w="120" w:type="dxa"/>
              <w:bottom w:w="80" w:type="dxa"/>
              <w:end w:w="120" w:type="dxa"/>
            </w:tcMar>
          </w:tcPr>
          <w:p>
            <w:pPr>
              <w:spacing w:before="0" w:after="0" w:line="264" w:lineRule="auto"/>
            </w:pPr>
            <w:r>
              <w:rPr>
                <w:rFonts w:ascii="Calibri" w:hAnsi="Calibri" w:eastAsia="Microsoft YaHei"/>
                <w:b/>
                <w:color w:val="234E70"/>
                <w:sz w:val="19"/>
              </w:rPr>
              <w:t>配套文件</w:t>
            </w:r>
          </w:p>
        </w:tc>
        <w:tc>
          <w:tcPr>
            <w:tcW w:type="dxa" w:w="7460"/>
            <w:vAlign w:val="center"/>
            <w:tcMar>
              <w:top w:w="80" w:type="dxa"/>
              <w:start w:w="120" w:type="dxa"/>
              <w:bottom w:w="80" w:type="dxa"/>
              <w:end w:w="120" w:type="dxa"/>
            </w:tcMar>
          </w:tcPr>
          <w:p>
            <w:pPr>
              <w:spacing w:before="0" w:after="0" w:line="264" w:lineRule="auto"/>
            </w:pPr>
            <w:r>
              <w:rPr>
                <w:rFonts w:ascii="Calibri" w:hAnsi="Calibri" w:eastAsia="Microsoft YaHei"/>
                <w:b w:val="0"/>
                <w:color w:val="1F2933"/>
                <w:sz w:val="19"/>
              </w:rPr>
              <w:t>产品需求文档（PRD）V1.2、产品整体架构图（MVP）V1.2</w:t>
            </w:r>
          </w:p>
        </w:tc>
      </w:tr>
    </w:tbl>
    <w:p/>
    <w:tbl>
      <w:tblPr>
        <w:tblW w:type="dxa" w:w="9360"/>
        <w:tblLook w:firstColumn="1" w:firstRow="1" w:lastColumn="0" w:lastRow="0" w:noHBand="0" w:noVBand="1" w:val="04A0"/>
        <w:tblBorders>
          <w:top w:val="single" w:sz="8" w:space="0" w:color="2E7D5B"/>
          <w:left w:val="single" w:sz="8" w:space="0" w:color="2E7D5B"/>
          <w:bottom w:val="single" w:sz="8" w:space="0" w:color="2E7D5B"/>
          <w:right w:val="single" w:sz="8" w:space="0" w:color="2E7D5B"/>
          <w:insideH w:val="single" w:sz="8" w:space="0" w:color="2E7D5B"/>
          <w:insideV w:val="single" w:sz="8" w:space="0" w:color="2E7D5B"/>
        </w:tblBorders>
        <w:tblInd w:w="120" w:type="dxa"/>
        <w:tblLayout w:type="fixed"/>
      </w:tblPr>
      <w:tblGrid>
        <w:gridCol w:w="9360"/>
      </w:tblGrid>
      <w:tr>
        <w:tc>
          <w:tcPr>
            <w:tcW w:type="dxa" w:w="9360"/>
            <w:shd w:fill="E8F3EE"/>
            <w:tcMar>
              <w:top w:w="80" w:type="dxa"/>
              <w:start w:w="120" w:type="dxa"/>
              <w:bottom w:w="80" w:type="dxa"/>
              <w:end w:w="120" w:type="dxa"/>
            </w:tcMar>
          </w:tcPr>
          <w:p>
            <w:pPr>
              <w:spacing w:before="0" w:after="40" w:line="264" w:lineRule="auto"/>
            </w:pPr>
            <w:r>
              <w:rPr>
                <w:rFonts w:ascii="Calibri" w:hAnsi="Calibri" w:eastAsia="Microsoft YaHei"/>
                <w:b/>
                <w:color w:val="2E7D5B"/>
                <w:sz w:val="21"/>
              </w:rPr>
              <w:t>文档结论</w:t>
            </w:r>
          </w:p>
          <w:p>
            <w:pPr>
              <w:spacing w:before="0" w:after="0" w:line="264" w:lineRule="auto"/>
            </w:pPr>
            <w:r>
              <w:rPr>
                <w:rFonts w:ascii="Calibri" w:hAnsi="Calibri" w:eastAsia="Microsoft YaHei"/>
                <w:b w:val="0"/>
                <w:color w:val="1F2933"/>
                <w:sz w:val="20"/>
              </w:rPr>
              <w:t>数据分析师是工作台的数据驱动者，但不是独立的投资决策者。MVP需要证明AI提升了信息处理效率和研究质量，并探索候选信号的增量信息价值；不承诺证明AI能够稳定创造超额收益。</w:t>
            </w:r>
          </w:p>
        </w:tc>
      </w:tr>
    </w:tbl>
    <w:p>
      <w:pPr>
        <w:spacing w:after="40"/>
      </w:pPr>
    </w:p>
    <w:p>
      <w:pPr>
        <w:pStyle w:val="Heading1"/>
      </w:pPr>
      <w:r>
        <w:t>1. 文档目的与适用关系</w:t>
      </w:r>
    </w:p>
    <w:p>
      <w:pPr>
        <w:spacing w:before="0" w:after="120" w:line="264" w:lineRule="auto"/>
      </w:pPr>
      <w:r>
        <w:rPr>
          <w:rFonts w:ascii="Calibri" w:hAnsi="Calibri" w:eastAsia="Microsoft YaHei"/>
          <w:b w:val="0"/>
          <w:color w:val="1F2933"/>
          <w:sz w:val="21"/>
        </w:rPr>
        <w:t>本说明书用于把产品需求转换为数据分析师可以实施的数据工作任务，重点补充PRD中未展开的数据源、数据对象、数据契约、候选信号、实验方法和验收口径。</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2700"/>
        <w:gridCol w:w="4200"/>
        <w:gridCol w:w="2460"/>
      </w:tblGrid>
      <w:tr>
        <w:tc>
          <w:tcPr>
            <w:tcW w:type="dxa" w:w="27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文件</w:t>
            </w:r>
          </w:p>
        </w:tc>
        <w:tc>
          <w:tcPr>
            <w:tcW w:type="dxa" w:w="42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回答的问题</w:t>
            </w:r>
          </w:p>
        </w:tc>
        <w:tc>
          <w:tcPr>
            <w:tcW w:type="dxa" w:w="246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主要使用者</w:t>
            </w:r>
          </w:p>
        </w:tc>
      </w:tr>
      <w:tr>
        <w:tc>
          <w:tcPr>
            <w:tcW w:type="dxa" w:w="2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产品需求文档（PRD）V1.2</w:t>
            </w:r>
          </w:p>
        </w:tc>
        <w:tc>
          <w:tcPr>
            <w:tcW w:type="dxa" w:w="42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产品做什么、服务谁、核心流程与功能边界</w:t>
            </w:r>
          </w:p>
        </w:tc>
        <w:tc>
          <w:tcPr>
            <w:tcW w:type="dxa" w:w="24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产品、研发、业务</w:t>
            </w:r>
          </w:p>
        </w:tc>
      </w:tr>
      <w:tr>
        <w:tc>
          <w:tcPr>
            <w:tcW w:type="dxa" w:w="2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产品整体架构图（MVP）V1.2</w:t>
            </w:r>
          </w:p>
        </w:tc>
        <w:tc>
          <w:tcPr>
            <w:tcW w:type="dxa" w:w="42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系统如何分层、模块如何协作</w:t>
            </w:r>
          </w:p>
        </w:tc>
        <w:tc>
          <w:tcPr>
            <w:tcW w:type="dxa" w:w="24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架构师、研发</w:t>
            </w:r>
          </w:p>
        </w:tc>
      </w:tr>
      <w:tr>
        <w:tc>
          <w:tcPr>
            <w:tcW w:type="dxa" w:w="2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本说明书</w:t>
            </w:r>
          </w:p>
        </w:tc>
        <w:tc>
          <w:tcPr>
            <w:tcW w:type="dxa" w:w="42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数据如何进入、如何建模、如何验证AI效能与候选信号</w:t>
            </w:r>
          </w:p>
        </w:tc>
        <w:tc>
          <w:tcPr>
            <w:tcW w:type="dxa" w:w="24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数据分析师、算法、业务</w:t>
            </w:r>
          </w:p>
        </w:tc>
      </w:tr>
      <w:tr>
        <w:tc>
          <w:tcPr>
            <w:tcW w:type="dxa" w:w="2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配套工作簿与案例包</w:t>
            </w:r>
          </w:p>
        </w:tc>
        <w:tc>
          <w:tcPr>
            <w:tcW w:type="dxa" w:w="42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具体字段、口径、台账、样例和预期输出</w:t>
            </w:r>
          </w:p>
        </w:tc>
        <w:tc>
          <w:tcPr>
            <w:tcW w:type="dxa" w:w="24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数据分析师、测试、业务</w:t>
            </w:r>
          </w:p>
        </w:tc>
      </w:tr>
    </w:tbl>
    <w:p>
      <w:pPr>
        <w:spacing w:after="40"/>
      </w:pPr>
    </w:p>
    <w:p>
      <w:pPr>
        <w:pStyle w:val="Heading1"/>
      </w:pPr>
      <w:r>
        <w:t>2. 角色定位与职责边界</w:t>
      </w:r>
    </w:p>
    <w:p>
      <w:pPr>
        <w:spacing w:before="0" w:after="120" w:line="264" w:lineRule="auto"/>
      </w:pPr>
      <w:r>
        <w:rPr>
          <w:rFonts w:ascii="Calibri" w:hAnsi="Calibri" w:eastAsia="Microsoft YaHei"/>
          <w:b/>
          <w:color w:val="234E70"/>
          <w:sz w:val="21"/>
        </w:rPr>
        <w:t>数据分析师是工作台的“驱动者”。</w:t>
      </w:r>
      <w:r>
        <w:rPr>
          <w:rFonts w:ascii="Calibri" w:hAnsi="Calibri" w:eastAsia="Microsoft YaHei"/>
          <w:b w:val="0"/>
          <w:color w:val="1F2933"/>
          <w:sz w:val="21"/>
        </w:rPr>
        <w:t>角色定位：</w:t>
      </w:r>
    </w:p>
    <w:p>
      <w:pPr>
        <w:spacing w:before="0" w:after="120" w:line="264" w:lineRule="auto"/>
      </w:pPr>
      <w:r>
        <w:rPr>
          <w:rFonts w:ascii="Calibri" w:hAnsi="Calibri" w:eastAsia="Microsoft YaHei"/>
          <w:b w:val="0"/>
          <w:color w:val="1F2933"/>
          <w:sz w:val="21"/>
        </w:rPr>
        <w:t>通过搭建数据管道、设计数据模型、管理投研资料、构建候选信号和结果标签，回答AI是否带来可度量的投研增量价值。</w:t>
      </w:r>
    </w:p>
    <w:p>
      <w:pPr>
        <w:pStyle w:val="Heading2"/>
      </w:pPr>
      <w:r>
        <w:t>2.1 负责事项</w:t>
      </w:r>
    </w:p>
    <w:p>
      <w:pPr>
        <w:numPr>
          <w:ilvl w:val="0"/>
          <w:numId w:val="10"/>
        </w:numPr>
        <w:spacing w:before="0" w:after="80" w:line="269" w:lineRule="auto"/>
      </w:pPr>
      <w:r>
        <w:rPr>
          <w:rFonts w:ascii="Calibri" w:hAnsi="Calibri" w:eastAsia="Microsoft YaHei"/>
          <w:b w:val="0"/>
          <w:color w:val="1F2933"/>
          <w:sz w:val="21"/>
        </w:rPr>
        <w:t>盘点并接入内部研究资料、公司披露、市场与行业数据，建立可追溯的数据血缘。</w:t>
      </w:r>
    </w:p>
    <w:p>
      <w:pPr>
        <w:numPr>
          <w:ilvl w:val="0"/>
          <w:numId w:val="10"/>
        </w:numPr>
        <w:spacing w:before="0" w:after="80" w:line="269" w:lineRule="auto"/>
      </w:pPr>
      <w:r>
        <w:rPr>
          <w:rFonts w:ascii="Calibri" w:hAnsi="Calibri" w:eastAsia="Microsoft YaHei"/>
          <w:b w:val="0"/>
          <w:color w:val="1F2933"/>
          <w:sz w:val="21"/>
        </w:rPr>
        <w:t>设计投资逻辑、核心假设、指标、事件、证据、AI信号、人工结论和结果标签的数据模型。</w:t>
      </w:r>
    </w:p>
    <w:p>
      <w:pPr>
        <w:numPr>
          <w:ilvl w:val="0"/>
          <w:numId w:val="10"/>
        </w:numPr>
        <w:spacing w:before="0" w:after="80" w:line="269" w:lineRule="auto"/>
      </w:pPr>
      <w:r>
        <w:rPr>
          <w:rFonts w:ascii="Calibri" w:hAnsi="Calibri" w:eastAsia="Microsoft YaHei"/>
          <w:b w:val="0"/>
          <w:color w:val="1F2933"/>
          <w:sz w:val="21"/>
        </w:rPr>
        <w:t>把AI从非结构化资料中提取的内容转化为可重复计算的候选信号。</w:t>
      </w:r>
    </w:p>
    <w:p>
      <w:pPr>
        <w:numPr>
          <w:ilvl w:val="0"/>
          <w:numId w:val="10"/>
        </w:numPr>
        <w:spacing w:before="0" w:after="80" w:line="269" w:lineRule="auto"/>
      </w:pPr>
      <w:r>
        <w:rPr>
          <w:rFonts w:ascii="Calibri" w:hAnsi="Calibri" w:eastAsia="Microsoft YaHei"/>
          <w:b w:val="0"/>
          <w:color w:val="1F2933"/>
          <w:sz w:val="21"/>
        </w:rPr>
        <w:t>建设预期差、同比/环比、趋势、简单同业比较和事后结果跟踪能力。</w:t>
      </w:r>
    </w:p>
    <w:p>
      <w:pPr>
        <w:numPr>
          <w:ilvl w:val="0"/>
          <w:numId w:val="10"/>
        </w:numPr>
        <w:spacing w:before="0" w:after="80" w:line="269" w:lineRule="auto"/>
      </w:pPr>
      <w:r>
        <w:rPr>
          <w:rFonts w:ascii="Calibri" w:hAnsi="Calibri" w:eastAsia="Microsoft YaHei"/>
          <w:b w:val="0"/>
          <w:color w:val="1F2933"/>
          <w:sz w:val="21"/>
        </w:rPr>
        <w:t>构建标准评测集，验证观点抽取、事件关联、影响判断和预警的实际效果。</w:t>
      </w:r>
    </w:p>
    <w:p>
      <w:pPr>
        <w:numPr>
          <w:ilvl w:val="0"/>
          <w:numId w:val="10"/>
        </w:numPr>
        <w:spacing w:before="0" w:after="80" w:line="269" w:lineRule="auto"/>
      </w:pPr>
      <w:r>
        <w:rPr>
          <w:rFonts w:ascii="Calibri" w:hAnsi="Calibri" w:eastAsia="Microsoft YaHei"/>
          <w:b w:val="0"/>
          <w:color w:val="1F2933"/>
          <w:sz w:val="21"/>
        </w:rPr>
        <w:t>设计轻量Alpha验证实验，比较AI方法与关键词、普通情绪分类和人工流程的增量价值。</w:t>
      </w:r>
    </w:p>
    <w:p>
      <w:pPr>
        <w:pStyle w:val="Heading2"/>
      </w:pPr>
      <w:r>
        <w:t>2.2 不负责事项</w:t>
      </w:r>
    </w:p>
    <w:p>
      <w:pPr>
        <w:numPr>
          <w:ilvl w:val="0"/>
          <w:numId w:val="10"/>
        </w:numPr>
        <w:spacing w:before="0" w:after="80" w:line="269" w:lineRule="auto"/>
      </w:pPr>
      <w:r>
        <w:rPr>
          <w:rFonts w:ascii="Calibri" w:hAnsi="Calibri" w:eastAsia="Microsoft YaHei"/>
          <w:b w:val="0"/>
          <w:color w:val="1F2933"/>
          <w:sz w:val="21"/>
        </w:rPr>
        <w:t>独立定义投资逻辑的经济含义或替代研究员作出投资判断。</w:t>
      </w:r>
    </w:p>
    <w:p>
      <w:pPr>
        <w:numPr>
          <w:ilvl w:val="0"/>
          <w:numId w:val="10"/>
        </w:numPr>
        <w:spacing w:before="0" w:after="80" w:line="269" w:lineRule="auto"/>
      </w:pPr>
      <w:r>
        <w:rPr>
          <w:rFonts w:ascii="Calibri" w:hAnsi="Calibri" w:eastAsia="Microsoft YaHei"/>
          <w:b w:val="0"/>
          <w:color w:val="1F2933"/>
          <w:sz w:val="21"/>
        </w:rPr>
        <w:t>在MVP阶段建设复杂因子挖掘、正式组合优化、风险预算和业绩归因系统。</w:t>
      </w:r>
    </w:p>
    <w:p>
      <w:pPr>
        <w:numPr>
          <w:ilvl w:val="0"/>
          <w:numId w:val="10"/>
        </w:numPr>
        <w:spacing w:before="0" w:after="80" w:line="269" w:lineRule="auto"/>
      </w:pPr>
      <w:r>
        <w:rPr>
          <w:rFonts w:ascii="Calibri" w:hAnsi="Calibri" w:eastAsia="Microsoft YaHei"/>
          <w:b w:val="0"/>
          <w:color w:val="1F2933"/>
          <w:sz w:val="21"/>
        </w:rPr>
        <w:t>用少量样本宣称AI与未来收益之间存在因果关系。</w:t>
      </w:r>
    </w:p>
    <w:p>
      <w:pPr>
        <w:numPr>
          <w:ilvl w:val="0"/>
          <w:numId w:val="10"/>
        </w:numPr>
        <w:spacing w:before="0" w:after="80" w:line="269" w:lineRule="auto"/>
      </w:pPr>
      <w:r>
        <w:rPr>
          <w:rFonts w:ascii="Calibri" w:hAnsi="Calibri" w:eastAsia="Microsoft YaHei"/>
          <w:b w:val="0"/>
          <w:color w:val="1F2933"/>
          <w:sz w:val="21"/>
        </w:rPr>
        <w:t>将研究信号直接转化为自动交易指令。</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2800"/>
        <w:gridCol w:w="1500"/>
        <w:gridCol w:w="1700"/>
        <w:gridCol w:w="1700"/>
        <w:gridCol w:w="1660"/>
      </w:tblGrid>
      <w:tr>
        <w:tc>
          <w:tcPr>
            <w:tcW w:type="dxa" w:w="28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工作项</w:t>
            </w:r>
          </w:p>
        </w:tc>
        <w:tc>
          <w:tcPr>
            <w:tcW w:type="dxa" w:w="15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产品经理</w:t>
            </w:r>
          </w:p>
        </w:tc>
        <w:tc>
          <w:tcPr>
            <w:tcW w:type="dxa" w:w="17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研究员/导师</w:t>
            </w:r>
          </w:p>
        </w:tc>
        <w:tc>
          <w:tcPr>
            <w:tcW w:type="dxa" w:w="17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数据分析师</w:t>
            </w:r>
          </w:p>
        </w:tc>
        <w:tc>
          <w:tcPr>
            <w:tcW w:type="dxa" w:w="166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架构/算法</w:t>
            </w:r>
          </w:p>
        </w:tc>
      </w:tr>
      <w:tr>
        <w:tc>
          <w:tcPr>
            <w:tcW w:type="dxa" w:w="2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场景与验收边界</w:t>
            </w:r>
          </w:p>
        </w:tc>
        <w:tc>
          <w:tcPr>
            <w:tcW w:type="dxa" w:w="15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主责</w:t>
            </w:r>
          </w:p>
        </w:tc>
        <w:tc>
          <w:tcPr>
            <w:tcW w:type="dxa" w:w="1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确认</w:t>
            </w:r>
          </w:p>
        </w:tc>
        <w:tc>
          <w:tcPr>
            <w:tcW w:type="dxa" w:w="1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参与</w:t>
            </w:r>
          </w:p>
        </w:tc>
        <w:tc>
          <w:tcPr>
            <w:tcW w:type="dxa" w:w="16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参与</w:t>
            </w:r>
          </w:p>
        </w:tc>
      </w:tr>
      <w:tr>
        <w:tc>
          <w:tcPr>
            <w:tcW w:type="dxa" w:w="2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投资逻辑与经济含义</w:t>
            </w:r>
          </w:p>
        </w:tc>
        <w:tc>
          <w:tcPr>
            <w:tcW w:type="dxa" w:w="15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组织</w:t>
            </w:r>
          </w:p>
        </w:tc>
        <w:tc>
          <w:tcPr>
            <w:tcW w:type="dxa" w:w="1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主责</w:t>
            </w:r>
          </w:p>
        </w:tc>
        <w:tc>
          <w:tcPr>
            <w:tcW w:type="dxa" w:w="1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数据化</w:t>
            </w:r>
          </w:p>
        </w:tc>
        <w:tc>
          <w:tcPr>
            <w:tcW w:type="dxa" w:w="16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技术支持</w:t>
            </w:r>
          </w:p>
        </w:tc>
      </w:tr>
      <w:tr>
        <w:tc>
          <w:tcPr>
            <w:tcW w:type="dxa" w:w="2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指标口径与数据质量</w:t>
            </w:r>
          </w:p>
        </w:tc>
        <w:tc>
          <w:tcPr>
            <w:tcW w:type="dxa" w:w="15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确认</w:t>
            </w:r>
          </w:p>
        </w:tc>
        <w:tc>
          <w:tcPr>
            <w:tcW w:type="dxa" w:w="1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业务确认</w:t>
            </w:r>
          </w:p>
        </w:tc>
        <w:tc>
          <w:tcPr>
            <w:tcW w:type="dxa" w:w="1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主责</w:t>
            </w:r>
          </w:p>
        </w:tc>
        <w:tc>
          <w:tcPr>
            <w:tcW w:type="dxa" w:w="16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接口支持</w:t>
            </w:r>
          </w:p>
        </w:tc>
      </w:tr>
      <w:tr>
        <w:tc>
          <w:tcPr>
            <w:tcW w:type="dxa" w:w="2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候选信号实验</w:t>
            </w:r>
          </w:p>
        </w:tc>
        <w:tc>
          <w:tcPr>
            <w:tcW w:type="dxa" w:w="15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定义目标</w:t>
            </w:r>
          </w:p>
        </w:tc>
        <w:tc>
          <w:tcPr>
            <w:tcW w:type="dxa" w:w="1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判断投资含义</w:t>
            </w:r>
          </w:p>
        </w:tc>
        <w:tc>
          <w:tcPr>
            <w:tcW w:type="dxa" w:w="1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主责</w:t>
            </w:r>
          </w:p>
        </w:tc>
        <w:tc>
          <w:tcPr>
            <w:tcW w:type="dxa" w:w="16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模型支持</w:t>
            </w:r>
          </w:p>
        </w:tc>
      </w:tr>
      <w:tr>
        <w:tc>
          <w:tcPr>
            <w:tcW w:type="dxa" w:w="2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系统与数据管道</w:t>
            </w:r>
          </w:p>
        </w:tc>
        <w:tc>
          <w:tcPr>
            <w:tcW w:type="dxa" w:w="15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提出需求</w:t>
            </w:r>
          </w:p>
        </w:tc>
        <w:tc>
          <w:tcPr>
            <w:tcW w:type="dxa" w:w="1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使用</w:t>
            </w:r>
          </w:p>
        </w:tc>
        <w:tc>
          <w:tcPr>
            <w:tcW w:type="dxa" w:w="1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模型与质量</w:t>
            </w:r>
          </w:p>
        </w:tc>
        <w:tc>
          <w:tcPr>
            <w:tcW w:type="dxa" w:w="16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主责</w:t>
            </w:r>
          </w:p>
        </w:tc>
      </w:tr>
      <w:tr>
        <w:tc>
          <w:tcPr>
            <w:tcW w:type="dxa" w:w="2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最终投资决策</w:t>
            </w:r>
          </w:p>
        </w:tc>
        <w:tc>
          <w:tcPr>
            <w:tcW w:type="dxa" w:w="15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不负责</w:t>
            </w:r>
          </w:p>
        </w:tc>
        <w:tc>
          <w:tcPr>
            <w:tcW w:type="dxa" w:w="1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主责</w:t>
            </w:r>
          </w:p>
        </w:tc>
        <w:tc>
          <w:tcPr>
            <w:tcW w:type="dxa" w:w="1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不负责</w:t>
            </w:r>
          </w:p>
        </w:tc>
        <w:tc>
          <w:tcPr>
            <w:tcW w:type="dxa" w:w="16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不负责</w:t>
            </w:r>
          </w:p>
        </w:tc>
      </w:tr>
    </w:tbl>
    <w:p>
      <w:pPr>
        <w:spacing w:after="40"/>
      </w:pPr>
    </w:p>
    <w:p>
      <w:pPr>
        <w:pStyle w:val="Heading1"/>
      </w:pPr>
      <w:r>
        <w:t>3. 根本问题与Alpha定义</w:t>
      </w:r>
    </w:p>
    <w:tbl>
      <w:tblPr>
        <w:tblW w:type="dxa" w:w="9360"/>
        <w:tblLook w:firstColumn="1" w:firstRow="1" w:lastColumn="0" w:lastRow="0" w:noHBand="0" w:noVBand="1" w:val="04A0"/>
        <w:tblBorders>
          <w:top w:val="single" w:sz="8" w:space="0" w:color="234E70"/>
          <w:left w:val="single" w:sz="8" w:space="0" w:color="234E70"/>
          <w:bottom w:val="single" w:sz="8" w:space="0" w:color="234E70"/>
          <w:right w:val="single" w:sz="8" w:space="0" w:color="234E70"/>
          <w:insideH w:val="single" w:sz="8" w:space="0" w:color="234E70"/>
          <w:insideV w:val="single" w:sz="8" w:space="0" w:color="234E70"/>
        </w:tblBorders>
        <w:tblInd w:w="120" w:type="dxa"/>
        <w:tblLayout w:type="fixed"/>
      </w:tblPr>
      <w:tblGrid>
        <w:gridCol w:w="9360"/>
      </w:tblGrid>
      <w:tr>
        <w:tc>
          <w:tcPr>
            <w:tcW w:type="dxa" w:w="9360"/>
            <w:shd w:fill="EAF2F8"/>
            <w:tcMar>
              <w:top w:w="80" w:type="dxa"/>
              <w:start w:w="120" w:type="dxa"/>
              <w:bottom w:w="80" w:type="dxa"/>
              <w:end w:w="120" w:type="dxa"/>
            </w:tcMar>
          </w:tcPr>
          <w:p>
            <w:pPr>
              <w:spacing w:before="0" w:after="40" w:line="264" w:lineRule="auto"/>
            </w:pPr>
            <w:r>
              <w:rPr>
                <w:rFonts w:ascii="Calibri" w:hAnsi="Calibri" w:eastAsia="Microsoft YaHei"/>
                <w:b/>
                <w:color w:val="234E70"/>
                <w:sz w:val="21"/>
              </w:rPr>
              <w:t>根本问题</w:t>
            </w:r>
          </w:p>
          <w:p>
            <w:pPr>
              <w:spacing w:before="0" w:after="0" w:line="264" w:lineRule="auto"/>
            </w:pPr>
            <w:r>
              <w:rPr>
                <w:rFonts w:ascii="Calibri" w:hAnsi="Calibri" w:eastAsia="Microsoft YaHei"/>
                <w:b w:val="0"/>
                <w:color w:val="1F2933"/>
                <w:sz w:val="20"/>
              </w:rPr>
              <w:t>AI能否从非结构化投研信息中发现传统方法容易遗漏或发现较晚的候选信号，并通过可复现的数据实验，证明这些信号对基本面变化或未来收益具有增量信息价值？</w:t>
            </w:r>
          </w:p>
        </w:tc>
      </w:tr>
    </w:tbl>
    <w:p>
      <w:pPr>
        <w:spacing w:after="40"/>
      </w:pP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1750"/>
        <w:gridCol w:w="3300"/>
        <w:gridCol w:w="1750"/>
        <w:gridCol w:w="2560"/>
      </w:tblGrid>
      <w:tr>
        <w:tc>
          <w:tcPr>
            <w:tcW w:type="dxa" w:w="175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层级</w:t>
            </w:r>
          </w:p>
        </w:tc>
        <w:tc>
          <w:tcPr>
            <w:tcW w:type="dxa" w:w="33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需要回答的问题</w:t>
            </w:r>
          </w:p>
        </w:tc>
        <w:tc>
          <w:tcPr>
            <w:tcW w:type="dxa" w:w="175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MVP定位</w:t>
            </w:r>
          </w:p>
        </w:tc>
        <w:tc>
          <w:tcPr>
            <w:tcW w:type="dxa" w:w="256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示例指标</w:t>
            </w:r>
          </w:p>
        </w:tc>
      </w:tr>
      <w:tr>
        <w:tc>
          <w:tcPr>
            <w:tcW w:type="dxa" w:w="17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L1 效率价值</w:t>
            </w:r>
          </w:p>
        </w:tc>
        <w:tc>
          <w:tcPr>
            <w:tcW w:type="dxa" w:w="33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是否更快、更广地处理信息</w:t>
            </w:r>
          </w:p>
        </w:tc>
        <w:tc>
          <w:tcPr>
            <w:tcW w:type="dxa" w:w="17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必须验证</w:t>
            </w:r>
          </w:p>
        </w:tc>
        <w:tc>
          <w:tcPr>
            <w:tcW w:type="dxa" w:w="25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处理时长、覆盖率、发现提前量</w:t>
            </w:r>
          </w:p>
        </w:tc>
      </w:tr>
      <w:tr>
        <w:tc>
          <w:tcPr>
            <w:tcW w:type="dxa" w:w="17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L2 研究质量</w:t>
            </w:r>
          </w:p>
        </w:tc>
        <w:tc>
          <w:tcPr>
            <w:tcW w:type="dxa" w:w="33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是否减少遗漏并改善判断过程</w:t>
            </w:r>
          </w:p>
        </w:tc>
        <w:tc>
          <w:tcPr>
            <w:tcW w:type="dxa" w:w="17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必须验证</w:t>
            </w:r>
          </w:p>
        </w:tc>
        <w:tc>
          <w:tcPr>
            <w:tcW w:type="dxa" w:w="25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事件召回率、采纳率、有效预警率</w:t>
            </w:r>
          </w:p>
        </w:tc>
      </w:tr>
      <w:tr>
        <w:tc>
          <w:tcPr>
            <w:tcW w:type="dxa" w:w="17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L3 信号价值</w:t>
            </w:r>
          </w:p>
        </w:tc>
        <w:tc>
          <w:tcPr>
            <w:tcW w:type="dxa" w:w="33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是否具有基本面或收益增量信息</w:t>
            </w:r>
          </w:p>
        </w:tc>
        <w:tc>
          <w:tcPr>
            <w:tcW w:type="dxa" w:w="17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探索验证</w:t>
            </w:r>
          </w:p>
        </w:tc>
        <w:tc>
          <w:tcPr>
            <w:tcW w:type="dxa" w:w="25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命中率、超额收益差、样本外稳定性</w:t>
            </w:r>
          </w:p>
        </w:tc>
      </w:tr>
      <w:tr>
        <w:tc>
          <w:tcPr>
            <w:tcW w:type="dxa" w:w="17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L4 组合Alpha</w:t>
            </w:r>
          </w:p>
        </w:tc>
        <w:tc>
          <w:tcPr>
            <w:tcW w:type="dxa" w:w="33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进入组合后是否带来风险调整后收益</w:t>
            </w:r>
          </w:p>
        </w:tc>
        <w:tc>
          <w:tcPr>
            <w:tcW w:type="dxa" w:w="17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P2专业平台</w:t>
            </w:r>
          </w:p>
        </w:tc>
        <w:tc>
          <w:tcPr>
            <w:tcW w:type="dxa" w:w="25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IC、IR、回撤、换手、归因</w:t>
            </w:r>
          </w:p>
        </w:tc>
      </w:tr>
    </w:tbl>
    <w:p>
      <w:pPr>
        <w:spacing w:after="40"/>
      </w:pPr>
    </w:p>
    <w:tbl>
      <w:tblPr>
        <w:tblW w:type="dxa" w:w="9360"/>
        <w:tblLook w:firstColumn="1" w:firstRow="1" w:lastColumn="0" w:lastRow="0" w:noHBand="0" w:noVBand="1" w:val="04A0"/>
        <w:tblBorders>
          <w:top w:val="single" w:sz="8" w:space="0" w:color="A33A3A"/>
          <w:left w:val="single" w:sz="8" w:space="0" w:color="A33A3A"/>
          <w:bottom w:val="single" w:sz="8" w:space="0" w:color="A33A3A"/>
          <w:right w:val="single" w:sz="8" w:space="0" w:color="A33A3A"/>
          <w:insideH w:val="single" w:sz="8" w:space="0" w:color="A33A3A"/>
          <w:insideV w:val="single" w:sz="8" w:space="0" w:color="A33A3A"/>
        </w:tblBorders>
        <w:tblInd w:w="120" w:type="dxa"/>
        <w:tblLayout w:type="fixed"/>
      </w:tblPr>
      <w:tblGrid>
        <w:gridCol w:w="9360"/>
      </w:tblGrid>
      <w:tr>
        <w:tc>
          <w:tcPr>
            <w:tcW w:type="dxa" w:w="9360"/>
            <w:shd w:fill="FBEAEA"/>
            <w:tcMar>
              <w:top w:w="80" w:type="dxa"/>
              <w:start w:w="120" w:type="dxa"/>
              <w:bottom w:w="80" w:type="dxa"/>
              <w:end w:w="120" w:type="dxa"/>
            </w:tcMar>
          </w:tcPr>
          <w:p>
            <w:pPr>
              <w:spacing w:before="0" w:after="40" w:line="264" w:lineRule="auto"/>
            </w:pPr>
            <w:r>
              <w:rPr>
                <w:rFonts w:ascii="Calibri" w:hAnsi="Calibri" w:eastAsia="Microsoft YaHei"/>
                <w:b/>
                <w:color w:val="A33A3A"/>
                <w:sz w:val="21"/>
              </w:rPr>
              <w:t>禁止性表述</w:t>
            </w:r>
          </w:p>
          <w:p>
            <w:pPr>
              <w:spacing w:before="0" w:after="0" w:line="264" w:lineRule="auto"/>
            </w:pPr>
            <w:r>
              <w:rPr>
                <w:rFonts w:ascii="Calibri" w:hAnsi="Calibri" w:eastAsia="Microsoft YaHei"/>
                <w:b w:val="0"/>
                <w:color w:val="1F2933"/>
                <w:sz w:val="20"/>
              </w:rPr>
              <w:t>不得使用“AI已证明能够稳定创造Alpha”作为MVP结论。合规表述应为“AI发现的候选信号在限定样本和实验口径下表现出增量信息价值，仍需更长周期样本外验证”。</w:t>
            </w:r>
          </w:p>
        </w:tc>
      </w:tr>
    </w:tbl>
    <w:p>
      <w:pPr>
        <w:spacing w:after="40"/>
      </w:pPr>
    </w:p>
    <w:p>
      <w:pPr>
        <w:pStyle w:val="Heading1"/>
      </w:pPr>
      <w:r>
        <w:t>4. MVP分析目标与成功标准</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2300"/>
        <w:gridCol w:w="4200"/>
        <w:gridCol w:w="2860"/>
      </w:tblGrid>
      <w:tr>
        <w:tc>
          <w:tcPr>
            <w:tcW w:type="dxa" w:w="23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目标</w:t>
            </w:r>
          </w:p>
        </w:tc>
        <w:tc>
          <w:tcPr>
            <w:tcW w:type="dxa" w:w="42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成功标准</w:t>
            </w:r>
          </w:p>
        </w:tc>
        <w:tc>
          <w:tcPr>
            <w:tcW w:type="dxa" w:w="286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最低样本建议</w:t>
            </w:r>
          </w:p>
        </w:tc>
      </w:tr>
      <w:tr>
        <w:tc>
          <w:tcPr>
            <w:tcW w:type="dxa" w:w="23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投研资料结构化</w:t>
            </w:r>
          </w:p>
        </w:tc>
        <w:tc>
          <w:tcPr>
            <w:tcW w:type="dxa" w:w="42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核心字段完整，来源和时间可追溯</w:t>
            </w:r>
          </w:p>
        </w:tc>
        <w:tc>
          <w:tcPr>
            <w:tcW w:type="dxa" w:w="28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30-50条投资逻辑</w:t>
            </w:r>
          </w:p>
        </w:tc>
      </w:tr>
      <w:tr>
        <w:tc>
          <w:tcPr>
            <w:tcW w:type="dxa" w:w="23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逻辑变化监控</w:t>
            </w:r>
          </w:p>
        </w:tc>
        <w:tc>
          <w:tcPr>
            <w:tcW w:type="dxa" w:w="42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事件关联和方向判断达到可用水平</w:t>
            </w:r>
          </w:p>
        </w:tc>
        <w:tc>
          <w:tcPr>
            <w:tcW w:type="dxa" w:w="28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200-500条事件</w:t>
            </w:r>
          </w:p>
        </w:tc>
      </w:tr>
      <w:tr>
        <w:tc>
          <w:tcPr>
            <w:tcW w:type="dxa" w:w="23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研究效率</w:t>
            </w:r>
          </w:p>
        </w:tc>
        <w:tc>
          <w:tcPr>
            <w:tcW w:type="dxa" w:w="42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同一任务耗时相对人工基线明显下降</w:t>
            </w:r>
          </w:p>
        </w:tc>
        <w:tc>
          <w:tcPr>
            <w:tcW w:type="dxa" w:w="28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不少于20组对照任务</w:t>
            </w:r>
          </w:p>
        </w:tc>
      </w:tr>
      <w:tr>
        <w:tc>
          <w:tcPr>
            <w:tcW w:type="dxa" w:w="23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候选信号探索</w:t>
            </w:r>
          </w:p>
        </w:tc>
        <w:tc>
          <w:tcPr>
            <w:tcW w:type="dxa" w:w="42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至少完成1-2类信号的样本外对照实验</w:t>
            </w:r>
          </w:p>
        </w:tc>
        <w:tc>
          <w:tcPr>
            <w:tcW w:type="dxa" w:w="28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覆盖多个时间段，数量按数据可得性</w:t>
            </w:r>
          </w:p>
        </w:tc>
      </w:tr>
      <w:tr>
        <w:tc>
          <w:tcPr>
            <w:tcW w:type="dxa" w:w="23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人机协同</w:t>
            </w:r>
          </w:p>
        </w:tc>
        <w:tc>
          <w:tcPr>
            <w:tcW w:type="dxa" w:w="42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所有高影响结论可人工确认、修改和留痕</w:t>
            </w:r>
          </w:p>
        </w:tc>
        <w:tc>
          <w:tcPr>
            <w:tcW w:type="dxa" w:w="28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100%高影响输出可追溯</w:t>
            </w:r>
          </w:p>
        </w:tc>
      </w:tr>
    </w:tbl>
    <w:p>
      <w:pPr>
        <w:spacing w:after="40"/>
      </w:pPr>
    </w:p>
    <w:p>
      <w:pPr>
        <w:spacing w:before="0" w:after="120" w:line="264" w:lineRule="auto"/>
      </w:pPr>
      <w:r>
        <w:rPr>
          <w:rFonts w:ascii="Calibri" w:hAnsi="Calibri" w:eastAsia="Microsoft YaHei"/>
          <w:b w:val="0"/>
          <w:color w:val="1F2933"/>
          <w:sz w:val="21"/>
        </w:rPr>
        <w:t>建议首期只选择一个行业、两至三家公司和一至两类信号。行业与公司由业务导师确认，示例包中的虚拟公司只用于说明数据结构。</w:t>
      </w:r>
    </w:p>
    <w:p>
      <w:pPr>
        <w:pStyle w:val="Heading1"/>
      </w:pPr>
      <w:r>
        <w:t>5. 端到端数据流程</w:t>
      </w:r>
    </w:p>
    <w:p>
      <w:pPr>
        <w:numPr>
          <w:ilvl w:val="0"/>
          <w:numId w:val="11"/>
        </w:numPr>
        <w:spacing w:before="0" w:after="100" w:line="269" w:lineRule="auto"/>
      </w:pPr>
      <w:r>
        <w:rPr>
          <w:rFonts w:ascii="Calibri" w:hAnsi="Calibri" w:eastAsia="Microsoft YaHei"/>
          <w:b w:val="0"/>
          <w:color w:val="1F2933"/>
          <w:sz w:val="21"/>
        </w:rPr>
        <w:t>资料进入：接收研报、调研纪要、公告、财报、新闻、政策和结构化市场数据。</w:t>
      </w:r>
    </w:p>
    <w:p>
      <w:pPr>
        <w:numPr>
          <w:ilvl w:val="0"/>
          <w:numId w:val="11"/>
        </w:numPr>
        <w:spacing w:before="0" w:after="100" w:line="269" w:lineRule="auto"/>
      </w:pPr>
      <w:r>
        <w:rPr>
          <w:rFonts w:ascii="Calibri" w:hAnsi="Calibri" w:eastAsia="Microsoft YaHei"/>
          <w:b w:val="0"/>
          <w:color w:val="1F2933"/>
          <w:sz w:val="21"/>
        </w:rPr>
        <w:t>清洗识别：完成去重、时间标准化、证券与业务实体映射、文档版本识别。</w:t>
      </w:r>
    </w:p>
    <w:p>
      <w:pPr>
        <w:numPr>
          <w:ilvl w:val="0"/>
          <w:numId w:val="11"/>
        </w:numPr>
        <w:spacing w:before="0" w:after="100" w:line="269" w:lineRule="auto"/>
      </w:pPr>
      <w:r>
        <w:rPr>
          <w:rFonts w:ascii="Calibri" w:hAnsi="Calibri" w:eastAsia="Microsoft YaHei"/>
          <w:b w:val="0"/>
          <w:color w:val="1F2933"/>
          <w:sz w:val="21"/>
        </w:rPr>
        <w:t>逻辑结构化：抽取投资观点、核心假设、验证指标、预期和失效条件。</w:t>
      </w:r>
    </w:p>
    <w:p>
      <w:pPr>
        <w:numPr>
          <w:ilvl w:val="0"/>
          <w:numId w:val="11"/>
        </w:numPr>
        <w:spacing w:before="0" w:after="100" w:line="269" w:lineRule="auto"/>
      </w:pPr>
      <w:r>
        <w:rPr>
          <w:rFonts w:ascii="Calibri" w:hAnsi="Calibri" w:eastAsia="Microsoft YaHei"/>
          <w:b w:val="0"/>
          <w:color w:val="1F2933"/>
          <w:sz w:val="21"/>
        </w:rPr>
        <w:t>事件结构化：识别事实事件，关联公司、业务、假设与指标，保留原文证据。</w:t>
      </w:r>
    </w:p>
    <w:p>
      <w:pPr>
        <w:numPr>
          <w:ilvl w:val="0"/>
          <w:numId w:val="11"/>
        </w:numPr>
        <w:spacing w:before="0" w:after="100" w:line="269" w:lineRule="auto"/>
      </w:pPr>
      <w:r>
        <w:rPr>
          <w:rFonts w:ascii="Calibri" w:hAnsi="Calibri" w:eastAsia="Microsoft YaHei"/>
          <w:b w:val="0"/>
          <w:color w:val="1F2933"/>
          <w:sz w:val="21"/>
        </w:rPr>
        <w:t>候选信号生成：形成方向、强度、置信度和首次可获得时间。</w:t>
      </w:r>
    </w:p>
    <w:p>
      <w:pPr>
        <w:numPr>
          <w:ilvl w:val="0"/>
          <w:numId w:val="11"/>
        </w:numPr>
        <w:spacing w:before="0" w:after="100" w:line="269" w:lineRule="auto"/>
      </w:pPr>
      <w:r>
        <w:rPr>
          <w:rFonts w:ascii="Calibri" w:hAnsi="Calibri" w:eastAsia="Microsoft YaHei"/>
          <w:b w:val="0"/>
          <w:color w:val="1F2933"/>
          <w:sz w:val="21"/>
        </w:rPr>
        <w:t>结果标签构建：关联未来基本面变化、市场收益和人工复核结果。</w:t>
      </w:r>
    </w:p>
    <w:p>
      <w:pPr>
        <w:numPr>
          <w:ilvl w:val="0"/>
          <w:numId w:val="11"/>
        </w:numPr>
        <w:spacing w:before="0" w:after="100" w:line="269" w:lineRule="auto"/>
      </w:pPr>
      <w:r>
        <w:rPr>
          <w:rFonts w:ascii="Calibri" w:hAnsi="Calibri" w:eastAsia="Microsoft YaHei"/>
          <w:b w:val="0"/>
          <w:color w:val="1F2933"/>
          <w:sz w:val="21"/>
        </w:rPr>
        <w:t>实验与评估：与关键词、普通情绪或纯人工流程比较，形成可复现实验记录。</w:t>
      </w:r>
    </w:p>
    <w:p>
      <w:pPr>
        <w:numPr>
          <w:ilvl w:val="0"/>
          <w:numId w:val="11"/>
        </w:numPr>
        <w:spacing w:before="0" w:after="100" w:line="269" w:lineRule="auto"/>
      </w:pPr>
      <w:r>
        <w:rPr>
          <w:rFonts w:ascii="Calibri" w:hAnsi="Calibri" w:eastAsia="Microsoft YaHei"/>
          <w:b w:val="0"/>
          <w:color w:val="1F2933"/>
          <w:sz w:val="21"/>
        </w:rPr>
        <w:t>工作台反馈：将验证结果、数据质量和人工意见回写投资逻辑卡片。</w:t>
      </w:r>
    </w:p>
    <w:p>
      <w:pPr>
        <w:pStyle w:val="Heading1"/>
      </w:pPr>
      <w:r>
        <w:t>6. 核心数据模型</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1800"/>
        <w:gridCol w:w="1450"/>
        <w:gridCol w:w="3700"/>
        <w:gridCol w:w="2410"/>
      </w:tblGrid>
      <w:tr>
        <w:tc>
          <w:tcPr>
            <w:tcW w:type="dxa" w:w="18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对象</w:t>
            </w:r>
          </w:p>
        </w:tc>
        <w:tc>
          <w:tcPr>
            <w:tcW w:type="dxa" w:w="145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主键</w:t>
            </w:r>
          </w:p>
        </w:tc>
        <w:tc>
          <w:tcPr>
            <w:tcW w:type="dxa" w:w="37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核心字段</w:t>
            </w:r>
          </w:p>
        </w:tc>
        <w:tc>
          <w:tcPr>
            <w:tcW w:type="dxa" w:w="241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上游/下游关系</w:t>
            </w:r>
          </w:p>
        </w:tc>
      </w:tr>
      <w:tr>
        <w:tc>
          <w:tcPr>
            <w:tcW w:type="dxa" w:w="1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文档 Document</w:t>
            </w:r>
          </w:p>
        </w:tc>
        <w:tc>
          <w:tcPr>
            <w:tcW w:type="dxa" w:w="14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document_id</w:t>
            </w:r>
          </w:p>
        </w:tc>
        <w:tc>
          <w:tcPr>
            <w:tcW w:type="dxa" w:w="3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来源、证券、发布时间、版本、权限、文件哈希</w:t>
            </w:r>
          </w:p>
        </w:tc>
        <w:tc>
          <w:tcPr>
            <w:tcW w:type="dxa" w:w="241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产生观点、事件和证据</w:t>
            </w:r>
          </w:p>
        </w:tc>
      </w:tr>
      <w:tr>
        <w:tc>
          <w:tcPr>
            <w:tcW w:type="dxa" w:w="1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投资逻辑 Thesis</w:t>
            </w:r>
          </w:p>
        </w:tc>
        <w:tc>
          <w:tcPr>
            <w:tcW w:type="dxa" w:w="14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thesis_id</w:t>
            </w:r>
          </w:p>
        </w:tc>
        <w:tc>
          <w:tcPr>
            <w:tcW w:type="dxa" w:w="3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观点、方向、期限、状态、责任人</w:t>
            </w:r>
          </w:p>
        </w:tc>
        <w:tc>
          <w:tcPr>
            <w:tcW w:type="dxa" w:w="241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包含核心假设</w:t>
            </w:r>
          </w:p>
        </w:tc>
      </w:tr>
      <w:tr>
        <w:tc>
          <w:tcPr>
            <w:tcW w:type="dxa" w:w="1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核心假设 Hypothesis</w:t>
            </w:r>
          </w:p>
        </w:tc>
        <w:tc>
          <w:tcPr>
            <w:tcW w:type="dxa" w:w="14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hypothesis_id</w:t>
            </w:r>
          </w:p>
        </w:tc>
        <w:tc>
          <w:tcPr>
            <w:tcW w:type="dxa" w:w="3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假设、权重、观察窗口、失效条件</w:t>
            </w:r>
          </w:p>
        </w:tc>
        <w:tc>
          <w:tcPr>
            <w:tcW w:type="dxa" w:w="241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映射指标和事件</w:t>
            </w:r>
          </w:p>
        </w:tc>
      </w:tr>
      <w:tr>
        <w:tc>
          <w:tcPr>
            <w:tcW w:type="dxa" w:w="1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指标 Metric</w:t>
            </w:r>
          </w:p>
        </w:tc>
        <w:tc>
          <w:tcPr>
            <w:tcW w:type="dxa" w:w="14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metric_id</w:t>
            </w:r>
          </w:p>
        </w:tc>
        <w:tc>
          <w:tcPr>
            <w:tcW w:type="dxa" w:w="3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定义、公式、单位、频率、来源、适用行业</w:t>
            </w:r>
          </w:p>
        </w:tc>
        <w:tc>
          <w:tcPr>
            <w:tcW w:type="dxa" w:w="241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承接数据验证</w:t>
            </w:r>
          </w:p>
        </w:tc>
      </w:tr>
      <w:tr>
        <w:tc>
          <w:tcPr>
            <w:tcW w:type="dxa" w:w="1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事件 Event</w:t>
            </w:r>
          </w:p>
        </w:tc>
        <w:tc>
          <w:tcPr>
            <w:tcW w:type="dxa" w:w="14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event_id</w:t>
            </w:r>
          </w:p>
        </w:tc>
        <w:tc>
          <w:tcPr>
            <w:tcW w:type="dxa" w:w="3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事实、发生时间、披露时间、实体、事件类型</w:t>
            </w:r>
          </w:p>
        </w:tc>
        <w:tc>
          <w:tcPr>
            <w:tcW w:type="dxa" w:w="241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关联假设和证据</w:t>
            </w:r>
          </w:p>
        </w:tc>
      </w:tr>
      <w:tr>
        <w:tc>
          <w:tcPr>
            <w:tcW w:type="dxa" w:w="1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AI信号 Signal</w:t>
            </w:r>
          </w:p>
        </w:tc>
        <w:tc>
          <w:tcPr>
            <w:tcW w:type="dxa" w:w="14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signal_id</w:t>
            </w:r>
          </w:p>
        </w:tc>
        <w:tc>
          <w:tcPr>
            <w:tcW w:type="dxa" w:w="3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方向、强度、置信度、模型版本、可得时间</w:t>
            </w:r>
          </w:p>
        </w:tc>
        <w:tc>
          <w:tcPr>
            <w:tcW w:type="dxa" w:w="241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关联结果标签</w:t>
            </w:r>
          </w:p>
        </w:tc>
      </w:tr>
      <w:tr>
        <w:tc>
          <w:tcPr>
            <w:tcW w:type="dxa" w:w="1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结果标签 Outcome</w:t>
            </w:r>
          </w:p>
        </w:tc>
        <w:tc>
          <w:tcPr>
            <w:tcW w:type="dxa" w:w="14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outcome_id</w:t>
            </w:r>
          </w:p>
        </w:tc>
        <w:tc>
          <w:tcPr>
            <w:tcW w:type="dxa" w:w="3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基本面结果、收益窗口、基准、数据截止日</w:t>
            </w:r>
          </w:p>
        </w:tc>
        <w:tc>
          <w:tcPr>
            <w:tcW w:type="dxa" w:w="241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用于实验评估</w:t>
            </w:r>
          </w:p>
        </w:tc>
      </w:tr>
      <w:tr>
        <w:tc>
          <w:tcPr>
            <w:tcW w:type="dxa" w:w="1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实验 Experiment</w:t>
            </w:r>
          </w:p>
        </w:tc>
        <w:tc>
          <w:tcPr>
            <w:tcW w:type="dxa" w:w="14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experiment_id</w:t>
            </w:r>
          </w:p>
        </w:tc>
        <w:tc>
          <w:tcPr>
            <w:tcW w:type="dxa" w:w="3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样本、基线、模型、指标、结果、限制</w:t>
            </w:r>
          </w:p>
        </w:tc>
        <w:tc>
          <w:tcPr>
            <w:tcW w:type="dxa" w:w="241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形成评估结论</w:t>
            </w:r>
          </w:p>
        </w:tc>
      </w:tr>
    </w:tbl>
    <w:p>
      <w:pPr>
        <w:spacing w:after="40"/>
      </w:pPr>
    </w:p>
    <w:tbl>
      <w:tblPr>
        <w:tblW w:type="dxa" w:w="9360"/>
        <w:tblLook w:firstColumn="1" w:firstRow="1" w:lastColumn="0" w:lastRow="0" w:noHBand="0" w:noVBand="1" w:val="04A0"/>
        <w:tblBorders>
          <w:top w:val="single" w:sz="8" w:space="0" w:color="9A6A00"/>
          <w:left w:val="single" w:sz="8" w:space="0" w:color="9A6A00"/>
          <w:bottom w:val="single" w:sz="8" w:space="0" w:color="9A6A00"/>
          <w:right w:val="single" w:sz="8" w:space="0" w:color="9A6A00"/>
          <w:insideH w:val="single" w:sz="8" w:space="0" w:color="9A6A00"/>
          <w:insideV w:val="single" w:sz="8" w:space="0" w:color="9A6A00"/>
        </w:tblBorders>
        <w:tblInd w:w="120" w:type="dxa"/>
        <w:tblLayout w:type="fixed"/>
      </w:tblPr>
      <w:tblGrid>
        <w:gridCol w:w="9360"/>
      </w:tblGrid>
      <w:tr>
        <w:tc>
          <w:tcPr>
            <w:tcW w:type="dxa" w:w="9360"/>
            <w:shd w:fill="FFF4D6"/>
            <w:tcMar>
              <w:top w:w="80" w:type="dxa"/>
              <w:start w:w="120" w:type="dxa"/>
              <w:bottom w:w="80" w:type="dxa"/>
              <w:end w:w="120" w:type="dxa"/>
            </w:tcMar>
          </w:tcPr>
          <w:p>
            <w:pPr>
              <w:spacing w:before="0" w:after="40" w:line="264" w:lineRule="auto"/>
            </w:pPr>
            <w:r>
              <w:rPr>
                <w:rFonts w:ascii="Calibri" w:hAnsi="Calibri" w:eastAsia="Microsoft YaHei"/>
                <w:b/>
                <w:color w:val="9A6A00"/>
                <w:sz w:val="21"/>
              </w:rPr>
              <w:t>时间字段要求</w:t>
            </w:r>
          </w:p>
          <w:p>
            <w:pPr>
              <w:spacing w:before="0" w:after="0" w:line="264" w:lineRule="auto"/>
            </w:pPr>
            <w:r>
              <w:rPr>
                <w:rFonts w:ascii="Calibri" w:hAnsi="Calibri" w:eastAsia="Microsoft YaHei"/>
                <w:b w:val="0"/>
                <w:color w:val="1F2933"/>
                <w:sz w:val="20"/>
              </w:rPr>
              <w:t>必须同时保存事实发生时间、公开披露时间、数据入库时间和AI信号生成时间。任何收益检验只能使用信号生成时已经公开可得的信息。</w:t>
            </w:r>
          </w:p>
        </w:tc>
      </w:tr>
    </w:tbl>
    <w:p>
      <w:pPr>
        <w:spacing w:after="40"/>
      </w:pPr>
    </w:p>
    <w:p>
      <w:pPr>
        <w:pStyle w:val="Heading1"/>
      </w:pPr>
      <w:r>
        <w:t>7. 四类数据管道</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2100"/>
        <w:gridCol w:w="2600"/>
        <w:gridCol w:w="3000"/>
        <w:gridCol w:w="1660"/>
      </w:tblGrid>
      <w:tr>
        <w:tc>
          <w:tcPr>
            <w:tcW w:type="dxa" w:w="21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管道</w:t>
            </w:r>
          </w:p>
        </w:tc>
        <w:tc>
          <w:tcPr>
            <w:tcW w:type="dxa" w:w="26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输入</w:t>
            </w:r>
          </w:p>
        </w:tc>
        <w:tc>
          <w:tcPr>
            <w:tcW w:type="dxa" w:w="30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关键处理</w:t>
            </w:r>
          </w:p>
        </w:tc>
        <w:tc>
          <w:tcPr>
            <w:tcW w:type="dxa" w:w="166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输出</w:t>
            </w:r>
          </w:p>
        </w:tc>
      </w:tr>
      <w:tr>
        <w:tc>
          <w:tcPr>
            <w:tcW w:type="dxa" w:w="21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A 投研资料管道</w:t>
            </w:r>
          </w:p>
        </w:tc>
        <w:tc>
          <w:tcPr>
            <w:tcW w:type="dxa" w:w="26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研报、纪要、公告、财报、新闻、政策</w:t>
            </w:r>
          </w:p>
        </w:tc>
        <w:tc>
          <w:tcPr>
            <w:tcW w:type="dxa" w:w="30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清洗文档、证券映射、分段、版本和引用定位</w:t>
            </w:r>
          </w:p>
        </w:tc>
        <w:tc>
          <w:tcPr>
            <w:tcW w:type="dxa" w:w="16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标准文档、段落、证据</w:t>
            </w:r>
          </w:p>
        </w:tc>
      </w:tr>
      <w:tr>
        <w:tc>
          <w:tcPr>
            <w:tcW w:type="dxa" w:w="21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B 结构化指标管道</w:t>
            </w:r>
          </w:p>
        </w:tc>
        <w:tc>
          <w:tcPr>
            <w:tcW w:type="dxa" w:w="26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财务、行情、行业、同业、预期数据</w:t>
            </w:r>
          </w:p>
        </w:tc>
        <w:tc>
          <w:tcPr>
            <w:tcW w:type="dxa" w:w="30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单位统一、报告期处理、同比环比、基准映射</w:t>
            </w:r>
          </w:p>
        </w:tc>
        <w:tc>
          <w:tcPr>
            <w:tcW w:type="dxa" w:w="16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指标观测值</w:t>
            </w:r>
          </w:p>
        </w:tc>
      </w:tr>
      <w:tr>
        <w:tc>
          <w:tcPr>
            <w:tcW w:type="dxa" w:w="21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C 标签与结果管道</w:t>
            </w:r>
          </w:p>
        </w:tc>
        <w:tc>
          <w:tcPr>
            <w:tcW w:type="dxa" w:w="26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后续财报、行情、人工结论</w:t>
            </w:r>
          </w:p>
        </w:tc>
        <w:tc>
          <w:tcPr>
            <w:tcW w:type="dxa" w:w="30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生成基本面和收益窗口标签</w:t>
            </w:r>
          </w:p>
        </w:tc>
        <w:tc>
          <w:tcPr>
            <w:tcW w:type="dxa" w:w="16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结果标签</w:t>
            </w:r>
          </w:p>
        </w:tc>
      </w:tr>
      <w:tr>
        <w:tc>
          <w:tcPr>
            <w:tcW w:type="dxa" w:w="21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D 评测实验管道</w:t>
            </w:r>
          </w:p>
        </w:tc>
        <w:tc>
          <w:tcPr>
            <w:tcW w:type="dxa" w:w="26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AI输出、基线输出、人工金标</w:t>
            </w:r>
          </w:p>
        </w:tc>
        <w:tc>
          <w:tcPr>
            <w:tcW w:type="dxa" w:w="30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版本固化、样本切分、指标计算</w:t>
            </w:r>
          </w:p>
        </w:tc>
        <w:tc>
          <w:tcPr>
            <w:tcW w:type="dxa" w:w="16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实验与评估报告</w:t>
            </w:r>
          </w:p>
        </w:tc>
      </w:tr>
    </w:tbl>
    <w:p>
      <w:pPr>
        <w:spacing w:after="40"/>
      </w:pPr>
    </w:p>
    <w:p>
      <w:pPr>
        <w:pStyle w:val="Heading2"/>
      </w:pPr>
      <w:r>
        <w:t>7.1 投研资料管道最低要求</w:t>
      </w:r>
    </w:p>
    <w:p>
      <w:pPr>
        <w:numPr>
          <w:ilvl w:val="0"/>
          <w:numId w:val="10"/>
        </w:numPr>
        <w:spacing w:before="0" w:after="80" w:line="269" w:lineRule="auto"/>
      </w:pPr>
      <w:r>
        <w:rPr>
          <w:rFonts w:ascii="Calibri" w:hAnsi="Calibri" w:eastAsia="Microsoft YaHei"/>
          <w:b w:val="0"/>
          <w:color w:val="1F2933"/>
          <w:sz w:val="21"/>
        </w:rPr>
        <w:t>原文件不可覆盖；解析结果必须记录原文件哈希和解析版本。</w:t>
      </w:r>
    </w:p>
    <w:p>
      <w:pPr>
        <w:numPr>
          <w:ilvl w:val="0"/>
          <w:numId w:val="10"/>
        </w:numPr>
        <w:spacing w:before="0" w:after="80" w:line="269" w:lineRule="auto"/>
      </w:pPr>
      <w:r>
        <w:rPr>
          <w:rFonts w:ascii="Calibri" w:hAnsi="Calibri" w:eastAsia="Microsoft YaHei"/>
          <w:b w:val="0"/>
          <w:color w:val="1F2933"/>
          <w:sz w:val="21"/>
        </w:rPr>
        <w:t>每条AI结论必须能够回到文件、页码或段落位置。</w:t>
      </w:r>
    </w:p>
    <w:p>
      <w:pPr>
        <w:numPr>
          <w:ilvl w:val="0"/>
          <w:numId w:val="10"/>
        </w:numPr>
        <w:spacing w:before="0" w:after="80" w:line="269" w:lineRule="auto"/>
      </w:pPr>
      <w:r>
        <w:rPr>
          <w:rFonts w:ascii="Calibri" w:hAnsi="Calibri" w:eastAsia="Microsoft YaHei"/>
          <w:b w:val="0"/>
          <w:color w:val="1F2933"/>
          <w:sz w:val="21"/>
        </w:rPr>
        <w:t>同一内容多渠道转载需要去重，但保留最早公开时间和权威来源。</w:t>
      </w:r>
    </w:p>
    <w:p>
      <w:pPr>
        <w:numPr>
          <w:ilvl w:val="0"/>
          <w:numId w:val="10"/>
        </w:numPr>
        <w:spacing w:before="0" w:after="80" w:line="269" w:lineRule="auto"/>
      </w:pPr>
      <w:r>
        <w:rPr>
          <w:rFonts w:ascii="Calibri" w:hAnsi="Calibri" w:eastAsia="Microsoft YaHei"/>
          <w:b w:val="0"/>
          <w:color w:val="1F2933"/>
          <w:sz w:val="21"/>
        </w:rPr>
        <w:t>内部资料必须带权限标签，不得进入无权限用户的检索范围。</w:t>
      </w:r>
    </w:p>
    <w:p>
      <w:pPr>
        <w:pStyle w:val="Heading2"/>
      </w:pPr>
      <w:r>
        <w:t>7.2 指标管道最低要求</w:t>
      </w:r>
    </w:p>
    <w:p>
      <w:pPr>
        <w:numPr>
          <w:ilvl w:val="0"/>
          <w:numId w:val="10"/>
        </w:numPr>
        <w:spacing w:before="0" w:after="80" w:line="269" w:lineRule="auto"/>
      </w:pPr>
      <w:r>
        <w:rPr>
          <w:rFonts w:ascii="Calibri" w:hAnsi="Calibri" w:eastAsia="Microsoft YaHei"/>
          <w:b w:val="0"/>
          <w:color w:val="1F2933"/>
          <w:sz w:val="21"/>
        </w:rPr>
        <w:t>区分单季度值、累计值、年度值和滚动值，不允许混算。</w:t>
      </w:r>
    </w:p>
    <w:p>
      <w:pPr>
        <w:numPr>
          <w:ilvl w:val="0"/>
          <w:numId w:val="10"/>
        </w:numPr>
        <w:spacing w:before="0" w:after="80" w:line="269" w:lineRule="auto"/>
      </w:pPr>
      <w:r>
        <w:rPr>
          <w:rFonts w:ascii="Calibri" w:hAnsi="Calibri" w:eastAsia="Microsoft YaHei"/>
          <w:b w:val="0"/>
          <w:color w:val="1F2933"/>
          <w:sz w:val="21"/>
        </w:rPr>
        <w:t>统一币种、金额单位和百分比表达，并保留原始值。</w:t>
      </w:r>
    </w:p>
    <w:p>
      <w:pPr>
        <w:numPr>
          <w:ilvl w:val="0"/>
          <w:numId w:val="10"/>
        </w:numPr>
        <w:spacing w:before="0" w:after="80" w:line="269" w:lineRule="auto"/>
      </w:pPr>
      <w:r>
        <w:rPr>
          <w:rFonts w:ascii="Calibri" w:hAnsi="Calibri" w:eastAsia="Microsoft YaHei"/>
          <w:b w:val="0"/>
          <w:color w:val="1F2933"/>
          <w:sz w:val="21"/>
        </w:rPr>
        <w:t>计算口径变化必须生成新版本，不直接覆盖历史口径。</w:t>
      </w:r>
    </w:p>
    <w:p>
      <w:pPr>
        <w:numPr>
          <w:ilvl w:val="0"/>
          <w:numId w:val="10"/>
        </w:numPr>
        <w:spacing w:before="0" w:after="80" w:line="269" w:lineRule="auto"/>
      </w:pPr>
      <w:r>
        <w:rPr>
          <w:rFonts w:ascii="Calibri" w:hAnsi="Calibri" w:eastAsia="Microsoft YaHei"/>
          <w:b w:val="0"/>
          <w:color w:val="1F2933"/>
          <w:sz w:val="21"/>
        </w:rPr>
        <w:t>同业范围和行业基准必须由业务人员确认并记录版本。</w:t>
      </w:r>
    </w:p>
    <w:p>
      <w:pPr>
        <w:pStyle w:val="Heading1"/>
      </w:pPr>
      <w:r>
        <w:t>8. 数据契约与接口输出</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1700"/>
        <w:gridCol w:w="2850"/>
        <w:gridCol w:w="3000"/>
        <w:gridCol w:w="1810"/>
      </w:tblGrid>
      <w:tr>
        <w:tc>
          <w:tcPr>
            <w:tcW w:type="dxa" w:w="17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契约</w:t>
            </w:r>
          </w:p>
        </w:tc>
        <w:tc>
          <w:tcPr>
            <w:tcW w:type="dxa" w:w="285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必填输入</w:t>
            </w:r>
          </w:p>
        </w:tc>
        <w:tc>
          <w:tcPr>
            <w:tcW w:type="dxa" w:w="30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标准输出</w:t>
            </w:r>
          </w:p>
        </w:tc>
        <w:tc>
          <w:tcPr>
            <w:tcW w:type="dxa" w:w="181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失败处理</w:t>
            </w:r>
          </w:p>
        </w:tc>
      </w:tr>
      <w:tr>
        <w:tc>
          <w:tcPr>
            <w:tcW w:type="dxa" w:w="1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DocumentIngest</w:t>
            </w:r>
          </w:p>
        </w:tc>
        <w:tc>
          <w:tcPr>
            <w:tcW w:type="dxa" w:w="28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文件、来源、发布时间、权限、证券线索</w:t>
            </w:r>
          </w:p>
        </w:tc>
        <w:tc>
          <w:tcPr>
            <w:tcW w:type="dxa" w:w="30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document_id、标准文本、段落、哈希</w:t>
            </w:r>
          </w:p>
        </w:tc>
        <w:tc>
          <w:tcPr>
            <w:tcW w:type="dxa" w:w="181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隔离失败文件并记录原因</w:t>
            </w:r>
          </w:p>
        </w:tc>
      </w:tr>
      <w:tr>
        <w:tc>
          <w:tcPr>
            <w:tcW w:type="dxa" w:w="1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ThesisMetricMap</w:t>
            </w:r>
          </w:p>
        </w:tc>
        <w:tc>
          <w:tcPr>
            <w:tcW w:type="dxa" w:w="28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thesis_id、hypothesis_id、metric_id、预期方向</w:t>
            </w:r>
          </w:p>
        </w:tc>
        <w:tc>
          <w:tcPr>
            <w:tcW w:type="dxa" w:w="30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映射版本、有效期、人工确认状态</w:t>
            </w:r>
          </w:p>
        </w:tc>
        <w:tc>
          <w:tcPr>
            <w:tcW w:type="dxa" w:w="181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禁止无来源自动生效</w:t>
            </w:r>
          </w:p>
        </w:tc>
      </w:tr>
      <w:tr>
        <w:tc>
          <w:tcPr>
            <w:tcW w:type="dxa" w:w="1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EventImpact</w:t>
            </w:r>
          </w:p>
        </w:tc>
        <w:tc>
          <w:tcPr>
            <w:tcW w:type="dxa" w:w="28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event_id、实体、证据、披露时间</w:t>
            </w:r>
          </w:p>
        </w:tc>
        <w:tc>
          <w:tcPr>
            <w:tcW w:type="dxa" w:w="30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关联假设、方向、强度、置信度</w:t>
            </w:r>
          </w:p>
        </w:tc>
        <w:tc>
          <w:tcPr>
            <w:tcW w:type="dxa" w:w="181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低置信度进入待复核</w:t>
            </w:r>
          </w:p>
        </w:tc>
      </w:tr>
      <w:tr>
        <w:tc>
          <w:tcPr>
            <w:tcW w:type="dxa" w:w="1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MetricValidation</w:t>
            </w:r>
          </w:p>
        </w:tc>
        <w:tc>
          <w:tcPr>
            <w:tcW w:type="dxa" w:w="28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指标值、预期值、基准、报告期</w:t>
            </w:r>
          </w:p>
        </w:tc>
        <w:tc>
          <w:tcPr>
            <w:tcW w:type="dxa" w:w="30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预期差、趋势、同业位置、规则结论</w:t>
            </w:r>
          </w:p>
        </w:tc>
        <w:tc>
          <w:tcPr>
            <w:tcW w:type="dxa" w:w="181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缺失时输出信息不足</w:t>
            </w:r>
          </w:p>
        </w:tc>
      </w:tr>
      <w:tr>
        <w:tc>
          <w:tcPr>
            <w:tcW w:type="dxa" w:w="1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OutcomeLabel</w:t>
            </w:r>
          </w:p>
        </w:tc>
        <w:tc>
          <w:tcPr>
            <w:tcW w:type="dxa" w:w="28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signal_id、窗口、基准、截止日</w:t>
            </w:r>
          </w:p>
        </w:tc>
        <w:tc>
          <w:tcPr>
            <w:tcW w:type="dxa" w:w="30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基本面标签、收益标签、命中结果</w:t>
            </w:r>
          </w:p>
        </w:tc>
        <w:tc>
          <w:tcPr>
            <w:tcW w:type="dxa" w:w="181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截止日未到则保持待观察</w:t>
            </w:r>
          </w:p>
        </w:tc>
      </w:tr>
      <w:tr>
        <w:tc>
          <w:tcPr>
            <w:tcW w:type="dxa" w:w="1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EvaluationRun</w:t>
            </w:r>
          </w:p>
        </w:tc>
        <w:tc>
          <w:tcPr>
            <w:tcW w:type="dxa" w:w="28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模型版本、样本版本、基线、评价指标</w:t>
            </w:r>
          </w:p>
        </w:tc>
        <w:tc>
          <w:tcPr>
            <w:tcW w:type="dxa" w:w="30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指标结果、差异、限制、复现参数</w:t>
            </w:r>
          </w:p>
        </w:tc>
        <w:tc>
          <w:tcPr>
            <w:tcW w:type="dxa" w:w="181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未固化版本不得发布结论</w:t>
            </w:r>
          </w:p>
        </w:tc>
      </w:tr>
    </w:tbl>
    <w:p>
      <w:pPr>
        <w:spacing w:after="40"/>
      </w:pPr>
    </w:p>
    <w:p>
      <w:pPr>
        <w:pStyle w:val="Heading1"/>
      </w:pPr>
      <w:r>
        <w:t>9. 指标验证方法</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1800"/>
        <w:gridCol w:w="4300"/>
        <w:gridCol w:w="3260"/>
      </w:tblGrid>
      <w:tr>
        <w:tc>
          <w:tcPr>
            <w:tcW w:type="dxa" w:w="18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方法</w:t>
            </w:r>
          </w:p>
        </w:tc>
        <w:tc>
          <w:tcPr>
            <w:tcW w:type="dxa" w:w="43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计算口径</w:t>
            </w:r>
          </w:p>
        </w:tc>
        <w:tc>
          <w:tcPr>
            <w:tcW w:type="dxa" w:w="326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使用边界</w:t>
            </w:r>
          </w:p>
        </w:tc>
      </w:tr>
      <w:tr>
        <w:tc>
          <w:tcPr>
            <w:tcW w:type="dxa" w:w="1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预期差</w:t>
            </w:r>
          </w:p>
        </w:tc>
        <w:tc>
          <w:tcPr>
            <w:tcW w:type="dxa" w:w="43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实际值－预期值；可同时计算（实际值/预期值）－1</w:t>
            </w:r>
          </w:p>
        </w:tc>
        <w:tc>
          <w:tcPr>
            <w:tcW w:type="dxa" w:w="32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预期来源和时间必须可追溯</w:t>
            </w:r>
          </w:p>
        </w:tc>
      </w:tr>
      <w:tr>
        <w:tc>
          <w:tcPr>
            <w:tcW w:type="dxa" w:w="1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同比</w:t>
            </w:r>
          </w:p>
        </w:tc>
        <w:tc>
          <w:tcPr>
            <w:tcW w:type="dxa" w:w="43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本期相对上年同期变化</w:t>
            </w:r>
          </w:p>
        </w:tc>
        <w:tc>
          <w:tcPr>
            <w:tcW w:type="dxa" w:w="32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确保报告期和统计口径一致</w:t>
            </w:r>
          </w:p>
        </w:tc>
      </w:tr>
      <w:tr>
        <w:tc>
          <w:tcPr>
            <w:tcW w:type="dxa" w:w="1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环比</w:t>
            </w:r>
          </w:p>
        </w:tc>
        <w:tc>
          <w:tcPr>
            <w:tcW w:type="dxa" w:w="43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本期相对上一连续期间变化</w:t>
            </w:r>
          </w:p>
        </w:tc>
        <w:tc>
          <w:tcPr>
            <w:tcW w:type="dxa" w:w="32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季节性明显指标需谨慎解释</w:t>
            </w:r>
          </w:p>
        </w:tc>
      </w:tr>
      <w:tr>
        <w:tc>
          <w:tcPr>
            <w:tcW w:type="dxa" w:w="1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趋势</w:t>
            </w:r>
          </w:p>
        </w:tc>
        <w:tc>
          <w:tcPr>
            <w:tcW w:type="dxa" w:w="43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连续多个观察期的方向、斜率或区间变化</w:t>
            </w:r>
          </w:p>
        </w:tc>
        <w:tc>
          <w:tcPr>
            <w:tcW w:type="dxa" w:w="32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MVP不使用复杂预测模型</w:t>
            </w:r>
          </w:p>
        </w:tc>
      </w:tr>
      <w:tr>
        <w:tc>
          <w:tcPr>
            <w:tcW w:type="dxa" w:w="1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同业比较</w:t>
            </w:r>
          </w:p>
        </w:tc>
        <w:tc>
          <w:tcPr>
            <w:tcW w:type="dxa" w:w="43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公司值与业务确认的同业中位数或分位数比较</w:t>
            </w:r>
          </w:p>
        </w:tc>
        <w:tc>
          <w:tcPr>
            <w:tcW w:type="dxa" w:w="32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记录同业样本和版本</w:t>
            </w:r>
          </w:p>
        </w:tc>
      </w:tr>
      <w:tr>
        <w:tc>
          <w:tcPr>
            <w:tcW w:type="dxa" w:w="1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事后结果</w:t>
            </w:r>
          </w:p>
        </w:tc>
        <w:tc>
          <w:tcPr>
            <w:tcW w:type="dxa" w:w="43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逻辑建立后的基本面兑现与市场表现</w:t>
            </w:r>
          </w:p>
        </w:tc>
        <w:tc>
          <w:tcPr>
            <w:tcW w:type="dxa" w:w="32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不能将相关性直接解释为因果</w:t>
            </w:r>
          </w:p>
        </w:tc>
      </w:tr>
    </w:tbl>
    <w:p>
      <w:pPr>
        <w:spacing w:after="40"/>
      </w:pPr>
    </w:p>
    <w:tbl>
      <w:tblPr>
        <w:tblW w:type="dxa" w:w="9360"/>
        <w:tblLook w:firstColumn="1" w:firstRow="1" w:lastColumn="0" w:lastRow="0" w:noHBand="0" w:noVBand="1" w:val="04A0"/>
        <w:tblBorders>
          <w:top w:val="single" w:sz="8" w:space="0" w:color="2E7D5B"/>
          <w:left w:val="single" w:sz="8" w:space="0" w:color="2E7D5B"/>
          <w:bottom w:val="single" w:sz="8" w:space="0" w:color="2E7D5B"/>
          <w:right w:val="single" w:sz="8" w:space="0" w:color="2E7D5B"/>
          <w:insideH w:val="single" w:sz="8" w:space="0" w:color="2E7D5B"/>
          <w:insideV w:val="single" w:sz="8" w:space="0" w:color="2E7D5B"/>
        </w:tblBorders>
        <w:tblInd w:w="120" w:type="dxa"/>
        <w:tblLayout w:type="fixed"/>
      </w:tblPr>
      <w:tblGrid>
        <w:gridCol w:w="9360"/>
      </w:tblGrid>
      <w:tr>
        <w:tc>
          <w:tcPr>
            <w:tcW w:type="dxa" w:w="9360"/>
            <w:shd w:fill="E8F3EE"/>
            <w:tcMar>
              <w:top w:w="80" w:type="dxa"/>
              <w:start w:w="120" w:type="dxa"/>
              <w:bottom w:w="80" w:type="dxa"/>
              <w:end w:w="120" w:type="dxa"/>
            </w:tcMar>
          </w:tcPr>
          <w:p>
            <w:pPr>
              <w:spacing w:before="0" w:after="40" w:line="264" w:lineRule="auto"/>
            </w:pPr>
            <w:r>
              <w:rPr>
                <w:rFonts w:ascii="Calibri" w:hAnsi="Calibri" w:eastAsia="Microsoft YaHei"/>
                <w:b/>
                <w:color w:val="2E7D5B"/>
                <w:sz w:val="21"/>
              </w:rPr>
              <w:t>推荐机制</w:t>
            </w:r>
          </w:p>
          <w:p>
            <w:pPr>
              <w:spacing w:before="0" w:after="0" w:line="264" w:lineRule="auto"/>
            </w:pPr>
            <w:r>
              <w:rPr>
                <w:rFonts w:ascii="Calibri" w:hAnsi="Calibri" w:eastAsia="Microsoft YaHei"/>
                <w:b w:val="0"/>
                <w:color w:val="1F2933"/>
                <w:sz w:val="20"/>
              </w:rPr>
              <w:t>计算由确定性程序完成；AI负责解释指标与投资逻辑的关系；研究员负责确认结论。任何核心状态更新都应保留人工确认入口。</w:t>
            </w:r>
          </w:p>
        </w:tc>
      </w:tr>
    </w:tbl>
    <w:p>
      <w:pPr>
        <w:spacing w:after="40"/>
      </w:pPr>
    </w:p>
    <w:p>
      <w:pPr>
        <w:pStyle w:val="Heading1"/>
      </w:pPr>
      <w:r>
        <w:t>10. 候选Alpha信号实验规范</w:t>
      </w:r>
    </w:p>
    <w:p>
      <w:pPr>
        <w:pStyle w:val="Heading2"/>
      </w:pPr>
      <w:r>
        <w:t>10.1 候选信号定义</w:t>
      </w:r>
    </w:p>
    <w:p>
      <w:pPr>
        <w:spacing w:before="0" w:after="120" w:line="264" w:lineRule="auto"/>
      </w:pPr>
      <w:r>
        <w:rPr>
          <w:rFonts w:ascii="Calibri" w:hAnsi="Calibri" w:eastAsia="Microsoft YaHei"/>
          <w:b w:val="0"/>
          <w:color w:val="1F2933"/>
          <w:sz w:val="21"/>
        </w:rPr>
        <w:t>候选信号是AI基于已公开投研信息生成的、可指定方向和时间戳、可关联投资逻辑并可进行事后验证的结构化记录。它不是交易指令。</w:t>
      </w:r>
    </w:p>
    <w:p>
      <w:pPr>
        <w:pStyle w:val="Heading2"/>
      </w:pPr>
      <w:r>
        <w:t>10.2 最低实验步骤</w:t>
      </w:r>
    </w:p>
    <w:p>
      <w:pPr>
        <w:numPr>
          <w:ilvl w:val="0"/>
          <w:numId w:val="11"/>
        </w:numPr>
        <w:spacing w:before="0" w:after="100" w:line="269" w:lineRule="auto"/>
      </w:pPr>
      <w:r>
        <w:rPr>
          <w:rFonts w:ascii="Calibri" w:hAnsi="Calibri" w:eastAsia="Microsoft YaHei"/>
          <w:b w:val="0"/>
          <w:color w:val="1F2933"/>
          <w:sz w:val="21"/>
        </w:rPr>
        <w:t>先写经济假设：说明信号为什么可能与未来基本面或收益相关。</w:t>
      </w:r>
    </w:p>
    <w:p>
      <w:pPr>
        <w:numPr>
          <w:ilvl w:val="0"/>
          <w:numId w:val="11"/>
        </w:numPr>
        <w:spacing w:before="0" w:after="100" w:line="269" w:lineRule="auto"/>
      </w:pPr>
      <w:r>
        <w:rPr>
          <w:rFonts w:ascii="Calibri" w:hAnsi="Calibri" w:eastAsia="Microsoft YaHei"/>
          <w:b w:val="0"/>
          <w:color w:val="1F2933"/>
          <w:sz w:val="21"/>
        </w:rPr>
        <w:t>固化信号规则：在观察结果前固定模型、提示词、阈值和样本范围。</w:t>
      </w:r>
    </w:p>
    <w:p>
      <w:pPr>
        <w:numPr>
          <w:ilvl w:val="0"/>
          <w:numId w:val="11"/>
        </w:numPr>
        <w:spacing w:before="0" w:after="100" w:line="269" w:lineRule="auto"/>
      </w:pPr>
      <w:r>
        <w:rPr>
          <w:rFonts w:ascii="Calibri" w:hAnsi="Calibri" w:eastAsia="Microsoft YaHei"/>
          <w:b w:val="0"/>
          <w:color w:val="1F2933"/>
          <w:sz w:val="21"/>
        </w:rPr>
        <w:t>建立基线：至少比较关键词法、普通情绪分类或原人工流程之一。</w:t>
      </w:r>
    </w:p>
    <w:p>
      <w:pPr>
        <w:numPr>
          <w:ilvl w:val="0"/>
          <w:numId w:val="11"/>
        </w:numPr>
        <w:spacing w:before="0" w:after="100" w:line="269" w:lineRule="auto"/>
      </w:pPr>
      <w:r>
        <w:rPr>
          <w:rFonts w:ascii="Calibri" w:hAnsi="Calibri" w:eastAsia="Microsoft YaHei"/>
          <w:b w:val="0"/>
          <w:color w:val="1F2933"/>
          <w:sz w:val="21"/>
        </w:rPr>
        <w:t>严格时间切分：训练/调试样本与样本外评估按时间切分。</w:t>
      </w:r>
    </w:p>
    <w:p>
      <w:pPr>
        <w:numPr>
          <w:ilvl w:val="0"/>
          <w:numId w:val="11"/>
        </w:numPr>
        <w:spacing w:before="0" w:after="100" w:line="269" w:lineRule="auto"/>
      </w:pPr>
      <w:r>
        <w:rPr>
          <w:rFonts w:ascii="Calibri" w:hAnsi="Calibri" w:eastAsia="Microsoft YaHei"/>
          <w:b w:val="0"/>
          <w:color w:val="1F2933"/>
          <w:sz w:val="21"/>
        </w:rPr>
        <w:t>构建结果标签：按固定窗口生成基本面或行业中性超额收益。</w:t>
      </w:r>
    </w:p>
    <w:p>
      <w:pPr>
        <w:numPr>
          <w:ilvl w:val="0"/>
          <w:numId w:val="11"/>
        </w:numPr>
        <w:spacing w:before="0" w:after="100" w:line="269" w:lineRule="auto"/>
      </w:pPr>
      <w:r>
        <w:rPr>
          <w:rFonts w:ascii="Calibri" w:hAnsi="Calibri" w:eastAsia="Microsoft YaHei"/>
          <w:b w:val="0"/>
          <w:color w:val="1F2933"/>
          <w:sz w:val="21"/>
        </w:rPr>
        <w:t>报告失败案例：同时展示命中、误报、漏报和冲突样本。</w:t>
      </w:r>
    </w:p>
    <w:p>
      <w:pPr>
        <w:numPr>
          <w:ilvl w:val="0"/>
          <w:numId w:val="11"/>
        </w:numPr>
        <w:spacing w:before="0" w:after="100" w:line="269" w:lineRule="auto"/>
      </w:pPr>
      <w:r>
        <w:rPr>
          <w:rFonts w:ascii="Calibri" w:hAnsi="Calibri" w:eastAsia="Microsoft YaHei"/>
          <w:b w:val="0"/>
          <w:color w:val="1F2933"/>
          <w:sz w:val="21"/>
        </w:rPr>
        <w:t>给出有限结论：明确样本、口径、限制和下一轮验证计划。</w:t>
      </w:r>
    </w:p>
    <w:p>
      <w:pPr>
        <w:pStyle w:val="Heading2"/>
      </w:pPr>
      <w:r>
        <w:t>10.3 基础收益标签</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1900"/>
        <w:gridCol w:w="3600"/>
        <w:gridCol w:w="3860"/>
      </w:tblGrid>
      <w:tr>
        <w:tc>
          <w:tcPr>
            <w:tcW w:type="dxa" w:w="19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标签</w:t>
            </w:r>
          </w:p>
        </w:tc>
        <w:tc>
          <w:tcPr>
            <w:tcW w:type="dxa" w:w="36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定义</w:t>
            </w:r>
          </w:p>
        </w:tc>
        <w:tc>
          <w:tcPr>
            <w:tcW w:type="dxa" w:w="386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说明</w:t>
            </w:r>
          </w:p>
        </w:tc>
      </w:tr>
      <w:tr>
        <w:tc>
          <w:tcPr>
            <w:tcW w:type="dxa" w:w="19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证券收益 R</w:t>
            </w:r>
          </w:p>
        </w:tc>
        <w:tc>
          <w:tcPr>
            <w:tcW w:type="dxa" w:w="36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信号可得日后固定窗口的复权收益</w:t>
            </w:r>
          </w:p>
        </w:tc>
        <w:tc>
          <w:tcPr>
            <w:tcW w:type="dxa" w:w="38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窗口可为5/20/60个交易日</w:t>
            </w:r>
          </w:p>
        </w:tc>
      </w:tr>
      <w:tr>
        <w:tc>
          <w:tcPr>
            <w:tcW w:type="dxa" w:w="19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基准收益 Rb</w:t>
            </w:r>
          </w:p>
        </w:tc>
        <w:tc>
          <w:tcPr>
            <w:tcW w:type="dxa" w:w="36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同期指数或经确认的行业基准收益</w:t>
            </w:r>
          </w:p>
        </w:tc>
        <w:tc>
          <w:tcPr>
            <w:tcW w:type="dxa" w:w="38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基准需事前确定</w:t>
            </w:r>
          </w:p>
        </w:tc>
      </w:tr>
      <w:tr>
        <w:tc>
          <w:tcPr>
            <w:tcW w:type="dxa" w:w="19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超额收益 AR</w:t>
            </w:r>
          </w:p>
        </w:tc>
        <w:tc>
          <w:tcPr>
            <w:tcW w:type="dxa" w:w="36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R－Rb</w:t>
            </w:r>
          </w:p>
        </w:tc>
        <w:tc>
          <w:tcPr>
            <w:tcW w:type="dxa" w:w="38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MVP使用简单基准调整</w:t>
            </w:r>
          </w:p>
        </w:tc>
      </w:tr>
      <w:tr>
        <w:tc>
          <w:tcPr>
            <w:tcW w:type="dxa" w:w="19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累计超额 CAR</w:t>
            </w:r>
          </w:p>
        </w:tc>
        <w:tc>
          <w:tcPr>
            <w:tcW w:type="dxa" w:w="36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事件窗口内超额收益累计</w:t>
            </w:r>
          </w:p>
        </w:tc>
        <w:tc>
          <w:tcPr>
            <w:tcW w:type="dxa" w:w="38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探索性指标，不等同可交易收益</w:t>
            </w:r>
          </w:p>
        </w:tc>
      </w:tr>
      <w:tr>
        <w:tc>
          <w:tcPr>
            <w:tcW w:type="dxa" w:w="19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命中</w:t>
            </w:r>
          </w:p>
        </w:tc>
        <w:tc>
          <w:tcPr>
            <w:tcW w:type="dxa" w:w="36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正向信号对应正超额，负向信号对应负超额</w:t>
            </w:r>
          </w:p>
        </w:tc>
        <w:tc>
          <w:tcPr>
            <w:tcW w:type="dxa" w:w="38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同时报告样本数和置信区间</w:t>
            </w:r>
          </w:p>
        </w:tc>
      </w:tr>
    </w:tbl>
    <w:p>
      <w:pPr>
        <w:spacing w:after="40"/>
      </w:pPr>
    </w:p>
    <w:p>
      <w:pPr>
        <w:pStyle w:val="Heading2"/>
      </w:pPr>
      <w:r>
        <w:t>10.4 偏差控制清单</w:t>
      </w:r>
    </w:p>
    <w:p>
      <w:pPr>
        <w:numPr>
          <w:ilvl w:val="0"/>
          <w:numId w:val="10"/>
        </w:numPr>
        <w:spacing w:before="0" w:after="80" w:line="269" w:lineRule="auto"/>
      </w:pPr>
      <w:r>
        <w:rPr>
          <w:rFonts w:ascii="Calibri" w:hAnsi="Calibri" w:eastAsia="Microsoft YaHei"/>
          <w:b w:val="0"/>
          <w:color w:val="1F2933"/>
          <w:sz w:val="21"/>
        </w:rPr>
        <w:t>未来数据泄露：不得使用披露日之后才可获得的字段。</w:t>
      </w:r>
    </w:p>
    <w:p>
      <w:pPr>
        <w:numPr>
          <w:ilvl w:val="0"/>
          <w:numId w:val="10"/>
        </w:numPr>
        <w:spacing w:before="0" w:after="80" w:line="269" w:lineRule="auto"/>
      </w:pPr>
      <w:r>
        <w:rPr>
          <w:rFonts w:ascii="Calibri" w:hAnsi="Calibri" w:eastAsia="Microsoft YaHei"/>
          <w:b w:val="0"/>
          <w:color w:val="1F2933"/>
          <w:sz w:val="21"/>
        </w:rPr>
        <w:t>生存者偏差：历史样本不得只保留当前仍上市或表现良好的公司。</w:t>
      </w:r>
    </w:p>
    <w:p>
      <w:pPr>
        <w:numPr>
          <w:ilvl w:val="0"/>
          <w:numId w:val="10"/>
        </w:numPr>
        <w:spacing w:before="0" w:after="80" w:line="269" w:lineRule="auto"/>
      </w:pPr>
      <w:r>
        <w:rPr>
          <w:rFonts w:ascii="Calibri" w:hAnsi="Calibri" w:eastAsia="Microsoft YaHei"/>
          <w:b w:val="0"/>
          <w:color w:val="1F2933"/>
          <w:sz w:val="21"/>
        </w:rPr>
        <w:t>选择偏差：不得只挑选成功案例展示。</w:t>
      </w:r>
    </w:p>
    <w:p>
      <w:pPr>
        <w:numPr>
          <w:ilvl w:val="0"/>
          <w:numId w:val="10"/>
        </w:numPr>
        <w:spacing w:before="0" w:after="80" w:line="269" w:lineRule="auto"/>
      </w:pPr>
      <w:r>
        <w:rPr>
          <w:rFonts w:ascii="Calibri" w:hAnsi="Calibri" w:eastAsia="Microsoft YaHei"/>
          <w:b w:val="0"/>
          <w:color w:val="1F2933"/>
          <w:sz w:val="21"/>
        </w:rPr>
        <w:t>重复事件：同一事实多次转载不得计算为多个独立信号。</w:t>
      </w:r>
    </w:p>
    <w:p>
      <w:pPr>
        <w:numPr>
          <w:ilvl w:val="0"/>
          <w:numId w:val="10"/>
        </w:numPr>
        <w:spacing w:before="0" w:after="80" w:line="269" w:lineRule="auto"/>
      </w:pPr>
      <w:r>
        <w:rPr>
          <w:rFonts w:ascii="Calibri" w:hAnsi="Calibri" w:eastAsia="Microsoft YaHei"/>
          <w:b w:val="0"/>
          <w:color w:val="1F2933"/>
          <w:sz w:val="21"/>
        </w:rPr>
        <w:t>参数过拟合：阈值和窗口不能根据样本外结果反复调整。</w:t>
      </w:r>
    </w:p>
    <w:p>
      <w:pPr>
        <w:numPr>
          <w:ilvl w:val="0"/>
          <w:numId w:val="10"/>
        </w:numPr>
        <w:spacing w:before="0" w:after="80" w:line="269" w:lineRule="auto"/>
      </w:pPr>
      <w:r>
        <w:rPr>
          <w:rFonts w:ascii="Calibri" w:hAnsi="Calibri" w:eastAsia="Microsoft YaHei"/>
          <w:b w:val="0"/>
          <w:color w:val="1F2933"/>
          <w:sz w:val="21"/>
        </w:rPr>
        <w:t>交易可实现性：若进入P2回测，需要考虑停牌、涨跌停、换手和成本。</w:t>
      </w:r>
    </w:p>
    <w:p>
      <w:pPr>
        <w:pStyle w:val="Heading1"/>
      </w:pPr>
      <w:r>
        <w:t>11. AI效能评估指标</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1400"/>
        <w:gridCol w:w="1900"/>
        <w:gridCol w:w="3800"/>
        <w:gridCol w:w="2260"/>
      </w:tblGrid>
      <w:tr>
        <w:tc>
          <w:tcPr>
            <w:tcW w:type="dxa" w:w="14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维度</w:t>
            </w:r>
          </w:p>
        </w:tc>
        <w:tc>
          <w:tcPr>
            <w:tcW w:type="dxa" w:w="19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指标</w:t>
            </w:r>
          </w:p>
        </w:tc>
        <w:tc>
          <w:tcPr>
            <w:tcW w:type="dxa" w:w="38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定义/计算</w:t>
            </w:r>
          </w:p>
        </w:tc>
        <w:tc>
          <w:tcPr>
            <w:tcW w:type="dxa" w:w="226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建议使用</w:t>
            </w:r>
          </w:p>
        </w:tc>
      </w:tr>
      <w:tr>
        <w:tc>
          <w:tcPr>
            <w:tcW w:type="dxa" w:w="14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抽取</w:t>
            </w:r>
          </w:p>
        </w:tc>
        <w:tc>
          <w:tcPr>
            <w:tcW w:type="dxa" w:w="19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字段准确率</w:t>
            </w:r>
          </w:p>
        </w:tc>
        <w:tc>
          <w:tcPr>
            <w:tcW w:type="dxa" w:w="3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正确字段数/AI输出字段数</w:t>
            </w:r>
          </w:p>
        </w:tc>
        <w:tc>
          <w:tcPr>
            <w:tcW w:type="dxa" w:w="22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观点、假设、指标</w:t>
            </w:r>
          </w:p>
        </w:tc>
      </w:tr>
      <w:tr>
        <w:tc>
          <w:tcPr>
            <w:tcW w:type="dxa" w:w="14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抽取</w:t>
            </w:r>
          </w:p>
        </w:tc>
        <w:tc>
          <w:tcPr>
            <w:tcW w:type="dxa" w:w="19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字段召回率</w:t>
            </w:r>
          </w:p>
        </w:tc>
        <w:tc>
          <w:tcPr>
            <w:tcW w:type="dxa" w:w="3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正确识别字段数/人工金标字段数</w:t>
            </w:r>
          </w:p>
        </w:tc>
        <w:tc>
          <w:tcPr>
            <w:tcW w:type="dxa" w:w="22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重点关注核心假设</w:t>
            </w:r>
          </w:p>
        </w:tc>
      </w:tr>
      <w:tr>
        <w:tc>
          <w:tcPr>
            <w:tcW w:type="dxa" w:w="14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关联</w:t>
            </w:r>
          </w:p>
        </w:tc>
        <w:tc>
          <w:tcPr>
            <w:tcW w:type="dxa" w:w="19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事件关联准确率</w:t>
            </w:r>
          </w:p>
        </w:tc>
        <w:tc>
          <w:tcPr>
            <w:tcW w:type="dxa" w:w="3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正确关联事件数/AI关联事件数</w:t>
            </w:r>
          </w:p>
        </w:tc>
        <w:tc>
          <w:tcPr>
            <w:tcW w:type="dxa" w:w="22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控制误报</w:t>
            </w:r>
          </w:p>
        </w:tc>
      </w:tr>
      <w:tr>
        <w:tc>
          <w:tcPr>
            <w:tcW w:type="dxa" w:w="14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关联</w:t>
            </w:r>
          </w:p>
        </w:tc>
        <w:tc>
          <w:tcPr>
            <w:tcW w:type="dxa" w:w="19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事件关联召回率</w:t>
            </w:r>
          </w:p>
        </w:tc>
        <w:tc>
          <w:tcPr>
            <w:tcW w:type="dxa" w:w="3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正确发现事件数/人工相关事件数</w:t>
            </w:r>
          </w:p>
        </w:tc>
        <w:tc>
          <w:tcPr>
            <w:tcW w:type="dxa" w:w="22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控制遗漏</w:t>
            </w:r>
          </w:p>
        </w:tc>
      </w:tr>
      <w:tr>
        <w:tc>
          <w:tcPr>
            <w:tcW w:type="dxa" w:w="14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判断</w:t>
            </w:r>
          </w:p>
        </w:tc>
        <w:tc>
          <w:tcPr>
            <w:tcW w:type="dxa" w:w="19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方向一致率</w:t>
            </w:r>
          </w:p>
        </w:tc>
        <w:tc>
          <w:tcPr>
            <w:tcW w:type="dxa" w:w="3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与人工方向一致的事件数/已复核事件数</w:t>
            </w:r>
          </w:p>
        </w:tc>
        <w:tc>
          <w:tcPr>
            <w:tcW w:type="dxa" w:w="22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支持/削弱/中性</w:t>
            </w:r>
          </w:p>
        </w:tc>
      </w:tr>
      <w:tr>
        <w:tc>
          <w:tcPr>
            <w:tcW w:type="dxa" w:w="14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协作</w:t>
            </w:r>
          </w:p>
        </w:tc>
        <w:tc>
          <w:tcPr>
            <w:tcW w:type="dxa" w:w="19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人工采纳率</w:t>
            </w:r>
          </w:p>
        </w:tc>
        <w:tc>
          <w:tcPr>
            <w:tcW w:type="dxa" w:w="3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被研究员采纳的输出/已复核输出</w:t>
            </w:r>
          </w:p>
        </w:tc>
        <w:tc>
          <w:tcPr>
            <w:tcW w:type="dxa" w:w="22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必须保留修改原因</w:t>
            </w:r>
          </w:p>
        </w:tc>
      </w:tr>
      <w:tr>
        <w:tc>
          <w:tcPr>
            <w:tcW w:type="dxa" w:w="14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效率</w:t>
            </w:r>
          </w:p>
        </w:tc>
        <w:tc>
          <w:tcPr>
            <w:tcW w:type="dxa" w:w="19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时间节省率</w:t>
            </w:r>
          </w:p>
        </w:tc>
        <w:tc>
          <w:tcPr>
            <w:tcW w:type="dxa" w:w="3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（人工基线时长－AI辅助时长）/人工基线时长</w:t>
            </w:r>
          </w:p>
        </w:tc>
        <w:tc>
          <w:tcPr>
            <w:tcW w:type="dxa" w:w="22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同任务对照</w:t>
            </w:r>
          </w:p>
        </w:tc>
      </w:tr>
      <w:tr>
        <w:tc>
          <w:tcPr>
            <w:tcW w:type="dxa" w:w="14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预警</w:t>
            </w:r>
          </w:p>
        </w:tc>
        <w:tc>
          <w:tcPr>
            <w:tcW w:type="dxa" w:w="19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有效预警率</w:t>
            </w:r>
          </w:p>
        </w:tc>
        <w:tc>
          <w:tcPr>
            <w:tcW w:type="dxa" w:w="3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导致研究员复核或更新逻辑的预警/全部预警</w:t>
            </w:r>
          </w:p>
        </w:tc>
        <w:tc>
          <w:tcPr>
            <w:tcW w:type="dxa" w:w="22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不等于收益命中</w:t>
            </w:r>
          </w:p>
        </w:tc>
      </w:tr>
      <w:tr>
        <w:tc>
          <w:tcPr>
            <w:tcW w:type="dxa" w:w="14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信号</w:t>
            </w:r>
          </w:p>
        </w:tc>
        <w:tc>
          <w:tcPr>
            <w:tcW w:type="dxa" w:w="19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相对基线增量</w:t>
            </w:r>
          </w:p>
        </w:tc>
        <w:tc>
          <w:tcPr>
            <w:tcW w:type="dxa" w:w="3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AI指标－基线指标</w:t>
            </w:r>
          </w:p>
        </w:tc>
        <w:tc>
          <w:tcPr>
            <w:tcW w:type="dxa" w:w="22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分别报告准确性和收益表现</w:t>
            </w:r>
          </w:p>
        </w:tc>
      </w:tr>
    </w:tbl>
    <w:p>
      <w:pPr>
        <w:spacing w:after="40"/>
      </w:pPr>
    </w:p>
    <w:tbl>
      <w:tblPr>
        <w:tblW w:type="dxa" w:w="9360"/>
        <w:tblLook w:firstColumn="1" w:firstRow="1" w:lastColumn="0" w:lastRow="0" w:noHBand="0" w:noVBand="1" w:val="04A0"/>
        <w:tblBorders>
          <w:top w:val="single" w:sz="8" w:space="0" w:color="9A6A00"/>
          <w:left w:val="single" w:sz="8" w:space="0" w:color="9A6A00"/>
          <w:bottom w:val="single" w:sz="8" w:space="0" w:color="9A6A00"/>
          <w:right w:val="single" w:sz="8" w:space="0" w:color="9A6A00"/>
          <w:insideH w:val="single" w:sz="8" w:space="0" w:color="9A6A00"/>
          <w:insideV w:val="single" w:sz="8" w:space="0" w:color="9A6A00"/>
        </w:tblBorders>
        <w:tblInd w:w="120" w:type="dxa"/>
        <w:tblLayout w:type="fixed"/>
      </w:tblPr>
      <w:tblGrid>
        <w:gridCol w:w="9360"/>
      </w:tblGrid>
      <w:tr>
        <w:tc>
          <w:tcPr>
            <w:tcW w:type="dxa" w:w="9360"/>
            <w:shd w:fill="FFF4D6"/>
            <w:tcMar>
              <w:top w:w="80" w:type="dxa"/>
              <w:start w:w="120" w:type="dxa"/>
              <w:bottom w:w="80" w:type="dxa"/>
              <w:end w:w="120" w:type="dxa"/>
            </w:tcMar>
          </w:tcPr>
          <w:p>
            <w:pPr>
              <w:spacing w:before="0" w:after="40" w:line="264" w:lineRule="auto"/>
            </w:pPr>
            <w:r>
              <w:rPr>
                <w:rFonts w:ascii="Calibri" w:hAnsi="Calibri" w:eastAsia="Microsoft YaHei"/>
                <w:b/>
                <w:color w:val="9A6A00"/>
                <w:sz w:val="21"/>
              </w:rPr>
              <w:t>发布门槛</w:t>
            </w:r>
          </w:p>
          <w:p>
            <w:pPr>
              <w:spacing w:before="0" w:after="0" w:line="264" w:lineRule="auto"/>
            </w:pPr>
            <w:r>
              <w:rPr>
                <w:rFonts w:ascii="Calibri" w:hAnsi="Calibri" w:eastAsia="Microsoft YaHei"/>
                <w:b w:val="0"/>
                <w:color w:val="1F2933"/>
                <w:sz w:val="20"/>
              </w:rPr>
              <w:t>所有效果指标必须同时披露分母、样本时间范围、数据版本、模型版本和人工标注版本。仅有百分比、没有样本数的结果不得用于验收。</w:t>
            </w:r>
          </w:p>
        </w:tc>
      </w:tr>
    </w:tbl>
    <w:p>
      <w:pPr>
        <w:spacing w:after="40"/>
      </w:pPr>
    </w:p>
    <w:p>
      <w:pPr>
        <w:pStyle w:val="Heading1"/>
      </w:pPr>
      <w:r>
        <w:t>12. 人工标注与金标集</w:t>
      </w:r>
    </w:p>
    <w:p>
      <w:pPr>
        <w:spacing w:before="0" w:after="120" w:line="264" w:lineRule="auto"/>
      </w:pPr>
      <w:r>
        <w:rPr>
          <w:rFonts w:ascii="Calibri" w:hAnsi="Calibri" w:eastAsia="Microsoft YaHei"/>
          <w:b w:val="0"/>
          <w:color w:val="1F2933"/>
          <w:sz w:val="21"/>
        </w:rPr>
        <w:t>金标集由研究员或具备金融业务判断能力的导师确认，数据分析师负责样本组织、版本管理和一致性统计。</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1900"/>
        <w:gridCol w:w="4300"/>
        <w:gridCol w:w="3160"/>
      </w:tblGrid>
      <w:tr>
        <w:tc>
          <w:tcPr>
            <w:tcW w:type="dxa" w:w="19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标注对象</w:t>
            </w:r>
          </w:p>
        </w:tc>
        <w:tc>
          <w:tcPr>
            <w:tcW w:type="dxa" w:w="43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必填标签</w:t>
            </w:r>
          </w:p>
        </w:tc>
        <w:tc>
          <w:tcPr>
            <w:tcW w:type="dxa" w:w="316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冲突处理</w:t>
            </w:r>
          </w:p>
        </w:tc>
      </w:tr>
      <w:tr>
        <w:tc>
          <w:tcPr>
            <w:tcW w:type="dxa" w:w="19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投资观点</w:t>
            </w:r>
          </w:p>
        </w:tc>
        <w:tc>
          <w:tcPr>
            <w:tcW w:type="dxa" w:w="43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公司、方向、期限、核心结论</w:t>
            </w:r>
          </w:p>
        </w:tc>
        <w:tc>
          <w:tcPr>
            <w:tcW w:type="dxa" w:w="31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无法形成可验证判断时标记非投资逻辑</w:t>
            </w:r>
          </w:p>
        </w:tc>
      </w:tr>
      <w:tr>
        <w:tc>
          <w:tcPr>
            <w:tcW w:type="dxa" w:w="19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核心假设</w:t>
            </w:r>
          </w:p>
        </w:tc>
        <w:tc>
          <w:tcPr>
            <w:tcW w:type="dxa" w:w="43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假设内容、重要程度、失效条件</w:t>
            </w:r>
          </w:p>
        </w:tc>
        <w:tc>
          <w:tcPr>
            <w:tcW w:type="dxa" w:w="31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合并同义假设并保留原文</w:t>
            </w:r>
          </w:p>
        </w:tc>
      </w:tr>
      <w:tr>
        <w:tc>
          <w:tcPr>
            <w:tcW w:type="dxa" w:w="19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事件</w:t>
            </w:r>
          </w:p>
        </w:tc>
        <w:tc>
          <w:tcPr>
            <w:tcW w:type="dxa" w:w="43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实体、事件类型、发生/披露时间、证据</w:t>
            </w:r>
          </w:p>
        </w:tc>
        <w:tc>
          <w:tcPr>
            <w:tcW w:type="dxa" w:w="31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事实与评论分开标注</w:t>
            </w:r>
          </w:p>
        </w:tc>
      </w:tr>
      <w:tr>
        <w:tc>
          <w:tcPr>
            <w:tcW w:type="dxa" w:w="19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事件影响</w:t>
            </w:r>
          </w:p>
        </w:tc>
        <w:tc>
          <w:tcPr>
            <w:tcW w:type="dxa" w:w="43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关联假设、方向、期限、直接/间接</w:t>
            </w:r>
          </w:p>
        </w:tc>
        <w:tc>
          <w:tcPr>
            <w:tcW w:type="dxa" w:w="31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两名标注者冲突时提交业务裁决</w:t>
            </w:r>
          </w:p>
        </w:tc>
      </w:tr>
      <w:tr>
        <w:tc>
          <w:tcPr>
            <w:tcW w:type="dxa" w:w="19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AI信号</w:t>
            </w:r>
          </w:p>
        </w:tc>
        <w:tc>
          <w:tcPr>
            <w:tcW w:type="dxa" w:w="43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是否采纳、修改内容、拒绝原因</w:t>
            </w:r>
          </w:p>
        </w:tc>
        <w:tc>
          <w:tcPr>
            <w:tcW w:type="dxa" w:w="31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所有修改留痕</w:t>
            </w:r>
          </w:p>
        </w:tc>
      </w:tr>
    </w:tbl>
    <w:p>
      <w:pPr>
        <w:spacing w:after="40"/>
      </w:pPr>
    </w:p>
    <w:p>
      <w:pPr>
        <w:numPr>
          <w:ilvl w:val="0"/>
          <w:numId w:val="10"/>
        </w:numPr>
        <w:spacing w:before="0" w:after="80" w:line="269" w:lineRule="auto"/>
      </w:pPr>
      <w:r>
        <w:rPr>
          <w:rFonts w:ascii="Calibri" w:hAnsi="Calibri" w:eastAsia="Microsoft YaHei"/>
          <w:b w:val="0"/>
          <w:color w:val="1F2933"/>
          <w:sz w:val="21"/>
        </w:rPr>
        <w:t>首批建议双人标注不少于20%的样本，用于检查规则是否清晰。</w:t>
      </w:r>
    </w:p>
    <w:p>
      <w:pPr>
        <w:numPr>
          <w:ilvl w:val="0"/>
          <w:numId w:val="10"/>
        </w:numPr>
        <w:spacing w:before="0" w:after="80" w:line="269" w:lineRule="auto"/>
      </w:pPr>
      <w:r>
        <w:rPr>
          <w:rFonts w:ascii="Calibri" w:hAnsi="Calibri" w:eastAsia="Microsoft YaHei"/>
          <w:b w:val="0"/>
          <w:color w:val="1F2933"/>
          <w:sz w:val="21"/>
        </w:rPr>
        <w:t>标注规则变更时创建新版本，并明确是否需要重标历史样本。</w:t>
      </w:r>
    </w:p>
    <w:p>
      <w:pPr>
        <w:numPr>
          <w:ilvl w:val="0"/>
          <w:numId w:val="10"/>
        </w:numPr>
        <w:spacing w:before="0" w:after="80" w:line="269" w:lineRule="auto"/>
      </w:pPr>
      <w:r>
        <w:rPr>
          <w:rFonts w:ascii="Calibri" w:hAnsi="Calibri" w:eastAsia="Microsoft YaHei"/>
          <w:b w:val="0"/>
          <w:color w:val="1F2933"/>
          <w:sz w:val="21"/>
        </w:rPr>
        <w:t>测试集在模型调试期间保持冻结，避免反复查看造成隐性过拟合。</w:t>
      </w:r>
    </w:p>
    <w:p>
      <w:pPr>
        <w:pStyle w:val="Heading1"/>
      </w:pPr>
      <w:r>
        <w:t>13. 数据质量、权限与血缘</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1700"/>
        <w:gridCol w:w="4500"/>
        <w:gridCol w:w="3160"/>
      </w:tblGrid>
      <w:tr>
        <w:tc>
          <w:tcPr>
            <w:tcW w:type="dxa" w:w="17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控制项</w:t>
            </w:r>
          </w:p>
        </w:tc>
        <w:tc>
          <w:tcPr>
            <w:tcW w:type="dxa" w:w="45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最低要求</w:t>
            </w:r>
          </w:p>
        </w:tc>
        <w:tc>
          <w:tcPr>
            <w:tcW w:type="dxa" w:w="316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阻断条件</w:t>
            </w:r>
          </w:p>
        </w:tc>
      </w:tr>
      <w:tr>
        <w:tc>
          <w:tcPr>
            <w:tcW w:type="dxa" w:w="1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完整性</w:t>
            </w:r>
          </w:p>
        </w:tc>
        <w:tc>
          <w:tcPr>
            <w:tcW w:type="dxa" w:w="45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关键主键、证券、时间、来源不可为空</w:t>
            </w:r>
          </w:p>
        </w:tc>
        <w:tc>
          <w:tcPr>
            <w:tcW w:type="dxa" w:w="31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缺少来源或时间不得产生正式信号</w:t>
            </w:r>
          </w:p>
        </w:tc>
      </w:tr>
      <w:tr>
        <w:tc>
          <w:tcPr>
            <w:tcW w:type="dxa" w:w="1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唯一性</w:t>
            </w:r>
          </w:p>
        </w:tc>
        <w:tc>
          <w:tcPr>
            <w:tcW w:type="dxa" w:w="45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文件哈希、事件指纹和业务主键去重</w:t>
            </w:r>
          </w:p>
        </w:tc>
        <w:tc>
          <w:tcPr>
            <w:tcW w:type="dxa" w:w="31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重复事件不得重复计数</w:t>
            </w:r>
          </w:p>
        </w:tc>
      </w:tr>
      <w:tr>
        <w:tc>
          <w:tcPr>
            <w:tcW w:type="dxa" w:w="1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一致性</w:t>
            </w:r>
          </w:p>
        </w:tc>
        <w:tc>
          <w:tcPr>
            <w:tcW w:type="dxa" w:w="45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单位、币种、报告期和证券代码统一</w:t>
            </w:r>
          </w:p>
        </w:tc>
        <w:tc>
          <w:tcPr>
            <w:tcW w:type="dxa" w:w="31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口径冲突进入隔离区</w:t>
            </w:r>
          </w:p>
        </w:tc>
      </w:tr>
      <w:tr>
        <w:tc>
          <w:tcPr>
            <w:tcW w:type="dxa" w:w="1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及时性</w:t>
            </w:r>
          </w:p>
        </w:tc>
        <w:tc>
          <w:tcPr>
            <w:tcW w:type="dxa" w:w="45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记录源发布时间、入库时间和延迟</w:t>
            </w:r>
          </w:p>
        </w:tc>
        <w:tc>
          <w:tcPr>
            <w:tcW w:type="dxa" w:w="31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超过时效阈值标记过期</w:t>
            </w:r>
          </w:p>
        </w:tc>
      </w:tr>
      <w:tr>
        <w:tc>
          <w:tcPr>
            <w:tcW w:type="dxa" w:w="17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可追溯</w:t>
            </w:r>
          </w:p>
        </w:tc>
        <w:tc>
          <w:tcPr>
            <w:tcW w:type="dxa" w:w="45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输出可回溯文件、段落、模型和规则版本</w:t>
            </w:r>
          </w:p>
        </w:tc>
        <w:tc>
          <w:tcPr>
            <w:tcW w:type="dxa" w:w="31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无证据不得更新逻辑状态</w:t>
            </w:r>
          </w:p>
        </w:tc>
      </w:tr>
      <w:tr>
        <w:tc>
          <w:tcPr>
            <w:tcW w:type="dxa" w:w="17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权限</w:t>
            </w:r>
          </w:p>
        </w:tc>
        <w:tc>
          <w:tcPr>
            <w:tcW w:type="dxa" w:w="45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内部资料按用户、团队和文档级控制</w:t>
            </w:r>
          </w:p>
        </w:tc>
        <w:tc>
          <w:tcPr>
            <w:tcW w:type="dxa" w:w="31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权限缺失默认不可见</w:t>
            </w:r>
          </w:p>
        </w:tc>
      </w:tr>
    </w:tbl>
    <w:p>
      <w:pPr>
        <w:spacing w:after="40"/>
      </w:pPr>
    </w:p>
    <w:p>
      <w:pPr>
        <w:pStyle w:val="Heading1"/>
      </w:pPr>
      <w:r>
        <w:t>14. MVP验收标准</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1450"/>
        <w:gridCol w:w="3000"/>
        <w:gridCol w:w="4910"/>
      </w:tblGrid>
      <w:tr>
        <w:tc>
          <w:tcPr>
            <w:tcW w:type="dxa" w:w="145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编号</w:t>
            </w:r>
          </w:p>
        </w:tc>
        <w:tc>
          <w:tcPr>
            <w:tcW w:type="dxa" w:w="30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验收项</w:t>
            </w:r>
          </w:p>
        </w:tc>
        <w:tc>
          <w:tcPr>
            <w:tcW w:type="dxa" w:w="491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通过标准</w:t>
            </w:r>
          </w:p>
        </w:tc>
      </w:tr>
      <w:tr>
        <w:tc>
          <w:tcPr>
            <w:tcW w:type="dxa" w:w="14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DA-AC-01</w:t>
            </w:r>
          </w:p>
        </w:tc>
        <w:tc>
          <w:tcPr>
            <w:tcW w:type="dxa" w:w="30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数据源盘点</w:t>
            </w:r>
          </w:p>
        </w:tc>
        <w:tc>
          <w:tcPr>
            <w:tcW w:type="dxa" w:w="491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MVP数据源、字段、更新频率、权限和缺口均有记录</w:t>
            </w:r>
          </w:p>
        </w:tc>
      </w:tr>
      <w:tr>
        <w:tc>
          <w:tcPr>
            <w:tcW w:type="dxa" w:w="14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DA-AC-02</w:t>
            </w:r>
          </w:p>
        </w:tc>
        <w:tc>
          <w:tcPr>
            <w:tcW w:type="dxa" w:w="30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数据模型</w:t>
            </w:r>
          </w:p>
        </w:tc>
        <w:tc>
          <w:tcPr>
            <w:tcW w:type="dxa" w:w="491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八类核心对象具备主键、关系、版本与时间字段</w:t>
            </w:r>
          </w:p>
        </w:tc>
      </w:tr>
      <w:tr>
        <w:tc>
          <w:tcPr>
            <w:tcW w:type="dxa" w:w="14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DA-AC-03</w:t>
            </w:r>
          </w:p>
        </w:tc>
        <w:tc>
          <w:tcPr>
            <w:tcW w:type="dxa" w:w="30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数据质量</w:t>
            </w:r>
          </w:p>
        </w:tc>
        <w:tc>
          <w:tcPr>
            <w:tcW w:type="dxa" w:w="491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关键质量规则可执行，失败数据有隔离和修复记录</w:t>
            </w:r>
          </w:p>
        </w:tc>
      </w:tr>
      <w:tr>
        <w:tc>
          <w:tcPr>
            <w:tcW w:type="dxa" w:w="14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DA-AC-04</w:t>
            </w:r>
          </w:p>
        </w:tc>
        <w:tc>
          <w:tcPr>
            <w:tcW w:type="dxa" w:w="30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确定性计算</w:t>
            </w:r>
          </w:p>
        </w:tc>
        <w:tc>
          <w:tcPr>
            <w:tcW w:type="dxa" w:w="491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预期差、同比/环比、趋势和简单同业比较可复核</w:t>
            </w:r>
          </w:p>
        </w:tc>
      </w:tr>
      <w:tr>
        <w:tc>
          <w:tcPr>
            <w:tcW w:type="dxa" w:w="14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DA-AC-05</w:t>
            </w:r>
          </w:p>
        </w:tc>
        <w:tc>
          <w:tcPr>
            <w:tcW w:type="dxa" w:w="30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AI评测</w:t>
            </w:r>
          </w:p>
        </w:tc>
        <w:tc>
          <w:tcPr>
            <w:tcW w:type="dxa" w:w="491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具备人工金标、基线、模型版本和指标报告</w:t>
            </w:r>
          </w:p>
        </w:tc>
      </w:tr>
      <w:tr>
        <w:tc>
          <w:tcPr>
            <w:tcW w:type="dxa" w:w="14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DA-AC-06</w:t>
            </w:r>
          </w:p>
        </w:tc>
        <w:tc>
          <w:tcPr>
            <w:tcW w:type="dxa" w:w="30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候选信号实验</w:t>
            </w:r>
          </w:p>
        </w:tc>
        <w:tc>
          <w:tcPr>
            <w:tcW w:type="dxa" w:w="491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至少完成一种信号的时间切分与基线对照</w:t>
            </w:r>
          </w:p>
        </w:tc>
      </w:tr>
      <w:tr>
        <w:tc>
          <w:tcPr>
            <w:tcW w:type="dxa" w:w="145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DA-AC-07</w:t>
            </w:r>
          </w:p>
        </w:tc>
        <w:tc>
          <w:tcPr>
            <w:tcW w:type="dxa" w:w="30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可追溯性</w:t>
            </w:r>
          </w:p>
        </w:tc>
        <w:tc>
          <w:tcPr>
            <w:tcW w:type="dxa" w:w="491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任一正式结论均可回溯原始证据、数据和实验版本</w:t>
            </w:r>
          </w:p>
        </w:tc>
      </w:tr>
      <w:tr>
        <w:tc>
          <w:tcPr>
            <w:tcW w:type="dxa" w:w="145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DA-AC-08</w:t>
            </w:r>
          </w:p>
        </w:tc>
        <w:tc>
          <w:tcPr>
            <w:tcW w:type="dxa" w:w="30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边界合规</w:t>
            </w:r>
          </w:p>
        </w:tc>
        <w:tc>
          <w:tcPr>
            <w:tcW w:type="dxa" w:w="491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不输出自动交易指令，不把探索结果表述为稳定Alpha</w:t>
            </w:r>
          </w:p>
        </w:tc>
      </w:tr>
    </w:tbl>
    <w:p>
      <w:pPr>
        <w:spacing w:after="40"/>
      </w:pPr>
    </w:p>
    <w:p>
      <w:pPr>
        <w:pStyle w:val="Heading1"/>
      </w:pPr>
      <w:r>
        <w:t>15. 分阶段交付与里程碑</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1800"/>
        <w:gridCol w:w="3000"/>
        <w:gridCol w:w="2800"/>
        <w:gridCol w:w="1760"/>
      </w:tblGrid>
      <w:tr>
        <w:tc>
          <w:tcPr>
            <w:tcW w:type="dxa" w:w="18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阶段</w:t>
            </w:r>
          </w:p>
        </w:tc>
        <w:tc>
          <w:tcPr>
            <w:tcW w:type="dxa" w:w="30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数据分析师交付</w:t>
            </w:r>
          </w:p>
        </w:tc>
        <w:tc>
          <w:tcPr>
            <w:tcW w:type="dxa" w:w="28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业务/产品配合</w:t>
            </w:r>
          </w:p>
        </w:tc>
        <w:tc>
          <w:tcPr>
            <w:tcW w:type="dxa" w:w="176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完成标志</w:t>
            </w:r>
          </w:p>
        </w:tc>
      </w:tr>
      <w:tr>
        <w:tc>
          <w:tcPr>
            <w:tcW w:type="dxa" w:w="1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第1阶段 数据盘点</w:t>
            </w:r>
          </w:p>
        </w:tc>
        <w:tc>
          <w:tcPr>
            <w:tcW w:type="dxa" w:w="30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数据源与字段字典、缺口报告</w:t>
            </w:r>
          </w:p>
        </w:tc>
        <w:tc>
          <w:tcPr>
            <w:tcW w:type="dxa" w:w="2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确认优先行业与数据权限</w:t>
            </w:r>
          </w:p>
        </w:tc>
        <w:tc>
          <w:tcPr>
            <w:tcW w:type="dxa" w:w="17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数据可用性评审</w:t>
            </w:r>
          </w:p>
        </w:tc>
      </w:tr>
      <w:tr>
        <w:tc>
          <w:tcPr>
            <w:tcW w:type="dxa" w:w="1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第2阶段 数据建模</w:t>
            </w:r>
          </w:p>
        </w:tc>
        <w:tc>
          <w:tcPr>
            <w:tcW w:type="dxa" w:w="30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逻辑模型、指标口径、质量规则</w:t>
            </w:r>
          </w:p>
        </w:tc>
        <w:tc>
          <w:tcPr>
            <w:tcW w:type="dxa" w:w="2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确认投资逻辑和指标映射</w:t>
            </w:r>
          </w:p>
        </w:tc>
        <w:tc>
          <w:tcPr>
            <w:tcW w:type="dxa" w:w="17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模型评审通过</w:t>
            </w:r>
          </w:p>
        </w:tc>
      </w:tr>
      <w:tr>
        <w:tc>
          <w:tcPr>
            <w:tcW w:type="dxa" w:w="1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第3阶段 样例贯通</w:t>
            </w:r>
          </w:p>
        </w:tc>
        <w:tc>
          <w:tcPr>
            <w:tcW w:type="dxa" w:w="30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端到端案例、标注集、基础计算</w:t>
            </w:r>
          </w:p>
        </w:tc>
        <w:tc>
          <w:tcPr>
            <w:tcW w:type="dxa" w:w="2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提供人工标准答案</w:t>
            </w:r>
          </w:p>
        </w:tc>
        <w:tc>
          <w:tcPr>
            <w:tcW w:type="dxa" w:w="17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案例可复现</w:t>
            </w:r>
          </w:p>
        </w:tc>
      </w:tr>
      <w:tr>
        <w:tc>
          <w:tcPr>
            <w:tcW w:type="dxa" w:w="1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第4阶段 AI评测</w:t>
            </w:r>
          </w:p>
        </w:tc>
        <w:tc>
          <w:tcPr>
            <w:tcW w:type="dxa" w:w="30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基线、金标、模型效果报告</w:t>
            </w:r>
          </w:p>
        </w:tc>
        <w:tc>
          <w:tcPr>
            <w:tcW w:type="dxa" w:w="28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复核错误和采纳原因</w:t>
            </w:r>
          </w:p>
        </w:tc>
        <w:tc>
          <w:tcPr>
            <w:tcW w:type="dxa" w:w="17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MVP指标可验收</w:t>
            </w:r>
          </w:p>
        </w:tc>
      </w:tr>
      <w:tr>
        <w:tc>
          <w:tcPr>
            <w:tcW w:type="dxa" w:w="1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第5阶段 信号探索</w:t>
            </w:r>
          </w:p>
        </w:tc>
        <w:tc>
          <w:tcPr>
            <w:tcW w:type="dxa" w:w="30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候选信号实验与限制说明</w:t>
            </w:r>
          </w:p>
        </w:tc>
        <w:tc>
          <w:tcPr>
            <w:tcW w:type="dxa" w:w="28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判断经济含义</w:t>
            </w:r>
          </w:p>
        </w:tc>
        <w:tc>
          <w:tcPr>
            <w:tcW w:type="dxa" w:w="17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形成有限结论</w:t>
            </w:r>
          </w:p>
        </w:tc>
      </w:tr>
    </w:tbl>
    <w:p>
      <w:pPr>
        <w:spacing w:after="40"/>
      </w:pPr>
    </w:p>
    <w:p>
      <w:pPr>
        <w:pStyle w:val="Heading1"/>
      </w:pPr>
      <w:r>
        <w:t>16. 开工前待确认清单</w:t>
      </w:r>
    </w:p>
    <w:p>
      <w:pPr>
        <w:numPr>
          <w:ilvl w:val="0"/>
          <w:numId w:val="10"/>
        </w:numPr>
        <w:spacing w:before="0" w:after="80" w:line="269" w:lineRule="auto"/>
      </w:pPr>
      <w:r>
        <w:rPr>
          <w:rFonts w:ascii="Calibri" w:hAnsi="Calibri" w:eastAsia="Microsoft YaHei"/>
          <w:b w:val="0"/>
          <w:color w:val="1F2933"/>
          <w:sz w:val="21"/>
        </w:rPr>
        <w:t>MVP选择的行业、公司范围和历史时间范围。</w:t>
      </w:r>
    </w:p>
    <w:p>
      <w:pPr>
        <w:numPr>
          <w:ilvl w:val="0"/>
          <w:numId w:val="10"/>
        </w:numPr>
        <w:spacing w:before="0" w:after="80" w:line="269" w:lineRule="auto"/>
      </w:pPr>
      <w:r>
        <w:rPr>
          <w:rFonts w:ascii="Calibri" w:hAnsi="Calibri" w:eastAsia="Microsoft YaHei"/>
          <w:b w:val="0"/>
          <w:color w:val="1F2933"/>
          <w:sz w:val="21"/>
        </w:rPr>
        <w:t>可使用的数据源、访问方式、授权边界和负责人。</w:t>
      </w:r>
    </w:p>
    <w:p>
      <w:pPr>
        <w:numPr>
          <w:ilvl w:val="0"/>
          <w:numId w:val="10"/>
        </w:numPr>
        <w:spacing w:before="0" w:after="80" w:line="269" w:lineRule="auto"/>
      </w:pPr>
      <w:r>
        <w:rPr>
          <w:rFonts w:ascii="Calibri" w:hAnsi="Calibri" w:eastAsia="Microsoft YaHei"/>
          <w:b w:val="0"/>
          <w:color w:val="1F2933"/>
          <w:sz w:val="21"/>
        </w:rPr>
        <w:t>研究员预期值从何处获得，是否存在一致预期数据。</w:t>
      </w:r>
    </w:p>
    <w:p>
      <w:pPr>
        <w:numPr>
          <w:ilvl w:val="0"/>
          <w:numId w:val="10"/>
        </w:numPr>
        <w:spacing w:before="0" w:after="80" w:line="269" w:lineRule="auto"/>
      </w:pPr>
      <w:r>
        <w:rPr>
          <w:rFonts w:ascii="Calibri" w:hAnsi="Calibri" w:eastAsia="Microsoft YaHei"/>
          <w:b w:val="0"/>
          <w:color w:val="1F2933"/>
          <w:sz w:val="21"/>
        </w:rPr>
        <w:t>同业范围和收益基准由谁确认。</w:t>
      </w:r>
    </w:p>
    <w:p>
      <w:pPr>
        <w:numPr>
          <w:ilvl w:val="0"/>
          <w:numId w:val="10"/>
        </w:numPr>
        <w:spacing w:before="0" w:after="80" w:line="269" w:lineRule="auto"/>
      </w:pPr>
      <w:r>
        <w:rPr>
          <w:rFonts w:ascii="Calibri" w:hAnsi="Calibri" w:eastAsia="Microsoft YaHei"/>
          <w:b w:val="0"/>
          <w:color w:val="1F2933"/>
          <w:sz w:val="21"/>
        </w:rPr>
        <w:t>首批人工标注人员、裁决人和可投入时间。</w:t>
      </w:r>
    </w:p>
    <w:p>
      <w:pPr>
        <w:numPr>
          <w:ilvl w:val="0"/>
          <w:numId w:val="10"/>
        </w:numPr>
        <w:spacing w:before="0" w:after="80" w:line="269" w:lineRule="auto"/>
      </w:pPr>
      <w:r>
        <w:rPr>
          <w:rFonts w:ascii="Calibri" w:hAnsi="Calibri" w:eastAsia="Microsoft YaHei"/>
          <w:b w:val="0"/>
          <w:color w:val="1F2933"/>
          <w:sz w:val="21"/>
        </w:rPr>
        <w:t>MVP是否展示探索性收益结果，还是仅展示基本面兑现结果。</w:t>
      </w:r>
    </w:p>
    <w:p>
      <w:pPr>
        <w:numPr>
          <w:ilvl w:val="0"/>
          <w:numId w:val="10"/>
        </w:numPr>
        <w:spacing w:before="0" w:after="80" w:line="269" w:lineRule="auto"/>
      </w:pPr>
      <w:r>
        <w:rPr>
          <w:rFonts w:ascii="Calibri" w:hAnsi="Calibri" w:eastAsia="Microsoft YaHei"/>
          <w:b w:val="0"/>
          <w:color w:val="1F2933"/>
          <w:sz w:val="21"/>
        </w:rPr>
        <w:t>与CLIMB、因子平台或其他系统的接口可用程度。</w:t>
      </w:r>
    </w:p>
    <w:p>
      <w:pPr>
        <w:pStyle w:val="Heading1"/>
      </w:pPr>
      <w:r>
        <w:t>附录A. 工作包文件说明</w:t>
      </w:r>
    </w:p>
    <w:tbl>
      <w:tblPr>
        <w:tblW w:type="dxa" w:w="9360"/>
        <w:jc w:val="left"/>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Ind w:w="120" w:type="dxa"/>
      </w:tblPr>
      <w:tblGrid>
        <w:gridCol w:w="4100"/>
        <w:gridCol w:w="5260"/>
      </w:tblGrid>
      <w:tr>
        <w:tc>
          <w:tcPr>
            <w:tcW w:type="dxa" w:w="410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文件</w:t>
            </w:r>
          </w:p>
        </w:tc>
        <w:tc>
          <w:tcPr>
            <w:tcW w:type="dxa" w:w="5260"/>
            <w:shd w:fill="234E70"/>
            <w:vAlign w:val="center"/>
            <w:tcMar>
              <w:top w:w="80" w:type="dxa"/>
              <w:start w:w="120" w:type="dxa"/>
              <w:bottom w:w="80" w:type="dxa"/>
              <w:end w:w="120" w:type="dxa"/>
            </w:tcMar>
          </w:tcPr>
          <w:p>
            <w:pPr>
              <w:spacing w:before="0" w:after="0" w:line="264" w:lineRule="auto"/>
              <w:jc w:val="left"/>
            </w:pPr>
            <w:r>
              <w:rPr>
                <w:rFonts w:ascii="Calibri" w:hAnsi="Calibri" w:eastAsia="Microsoft YaHei"/>
                <w:b/>
                <w:color w:val="FFFFFF"/>
                <w:sz w:val="18"/>
              </w:rPr>
              <w:t>用途</w:t>
            </w:r>
          </w:p>
        </w:tc>
      </w:tr>
      <w:tr>
        <w:tc>
          <w:tcPr>
            <w:tcW w:type="dxa" w:w="41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投研数据资产与指标字典 V1.0.xlsx</w:t>
            </w:r>
          </w:p>
        </w:tc>
        <w:tc>
          <w:tcPr>
            <w:tcW w:type="dxa" w:w="52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盘点数据源、字段、指标、质量规则、权限和血缘</w:t>
            </w:r>
          </w:p>
        </w:tc>
      </w:tr>
      <w:tr>
        <w:tc>
          <w:tcPr>
            <w:tcW w:type="dxa" w:w="41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投资逻辑与Alpha候选信号验证台账 V1.0.xlsx</w:t>
            </w:r>
          </w:p>
        </w:tc>
        <w:tc>
          <w:tcPr>
            <w:tcW w:type="dxa" w:w="52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维护逻辑、假设、事件、信号、结果标签和实验</w:t>
            </w:r>
          </w:p>
        </w:tc>
      </w:tr>
      <w:tr>
        <w:tc>
          <w:tcPr>
            <w:tcW w:type="dxa" w:w="41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样例案例说明与人工标注规范 V1.0.docx</w:t>
            </w:r>
          </w:p>
        </w:tc>
        <w:tc>
          <w:tcPr>
            <w:tcW w:type="dxa" w:w="52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说明端到端虚拟案例及标注方法</w:t>
            </w:r>
          </w:p>
        </w:tc>
      </w:tr>
      <w:tr>
        <w:tc>
          <w:tcPr>
            <w:tcW w:type="dxa" w:w="410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业务样例包中的CSV/JSON</w:t>
            </w:r>
          </w:p>
        </w:tc>
        <w:tc>
          <w:tcPr>
            <w:tcW w:type="dxa" w:w="5260"/>
            <w:vAlign w:val="top"/>
            <w:shd w:fill="F7F9FB"/>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提供可导入的演示数据和标准预期输出</w:t>
            </w:r>
          </w:p>
        </w:tc>
      </w:tr>
      <w:tr>
        <w:tc>
          <w:tcPr>
            <w:tcW w:type="dxa" w:w="410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数据分析交付包使用说明.md</w:t>
            </w:r>
          </w:p>
        </w:tc>
        <w:tc>
          <w:tcPr>
            <w:tcW w:type="dxa" w:w="5260"/>
            <w:vAlign w:val="top"/>
            <w:tcMar>
              <w:top w:w="80" w:type="dxa"/>
              <w:start w:w="120" w:type="dxa"/>
              <w:bottom w:w="80" w:type="dxa"/>
              <w:end w:w="120" w:type="dxa"/>
            </w:tcMar>
          </w:tcPr>
          <w:p>
            <w:pPr>
              <w:spacing w:before="0" w:after="0" w:line="252" w:lineRule="auto"/>
            </w:pPr>
            <w:r>
              <w:rPr>
                <w:rFonts w:ascii="Calibri" w:hAnsi="Calibri" w:eastAsia="Microsoft YaHei"/>
                <w:b w:val="0"/>
                <w:color w:val="1F2933"/>
                <w:sz w:val="17"/>
              </w:rPr>
              <w:t>说明文件关系、开工步骤和职责分工</w:t>
            </w:r>
          </w:p>
        </w:tc>
      </w:tr>
    </w:tbl>
    <w:p>
      <w:pPr>
        <w:spacing w:after="40"/>
      </w:pPr>
    </w:p>
    <w:tbl>
      <w:tblPr>
        <w:tblW w:type="dxa" w:w="9360"/>
        <w:tblLook w:firstColumn="1" w:firstRow="1" w:lastColumn="0" w:lastRow="0" w:noHBand="0" w:noVBand="1" w:val="04A0"/>
        <w:tblBorders>
          <w:top w:val="single" w:sz="8" w:space="0" w:color="A33A3A"/>
          <w:left w:val="single" w:sz="8" w:space="0" w:color="A33A3A"/>
          <w:bottom w:val="single" w:sz="8" w:space="0" w:color="A33A3A"/>
          <w:right w:val="single" w:sz="8" w:space="0" w:color="A33A3A"/>
          <w:insideH w:val="single" w:sz="8" w:space="0" w:color="A33A3A"/>
          <w:insideV w:val="single" w:sz="8" w:space="0" w:color="A33A3A"/>
        </w:tblBorders>
        <w:tblInd w:w="120" w:type="dxa"/>
        <w:tblLayout w:type="fixed"/>
      </w:tblPr>
      <w:tblGrid>
        <w:gridCol w:w="9360"/>
      </w:tblGrid>
      <w:tr>
        <w:tc>
          <w:tcPr>
            <w:tcW w:type="dxa" w:w="9360"/>
            <w:shd w:fill="FBEAEA"/>
            <w:tcMar>
              <w:top w:w="80" w:type="dxa"/>
              <w:start w:w="120" w:type="dxa"/>
              <w:bottom w:w="80" w:type="dxa"/>
              <w:end w:w="120" w:type="dxa"/>
            </w:tcMar>
          </w:tcPr>
          <w:p>
            <w:pPr>
              <w:spacing w:before="0" w:after="40" w:line="264" w:lineRule="auto"/>
            </w:pPr>
            <w:r>
              <w:rPr>
                <w:rFonts w:ascii="Calibri" w:hAnsi="Calibri" w:eastAsia="Microsoft YaHei"/>
                <w:b/>
                <w:color w:val="A33A3A"/>
                <w:sz w:val="21"/>
              </w:rPr>
              <w:t>重要提示</w:t>
            </w:r>
          </w:p>
          <w:p>
            <w:pPr>
              <w:spacing w:before="0" w:after="0" w:line="264" w:lineRule="auto"/>
            </w:pPr>
            <w:r>
              <w:rPr>
                <w:rFonts w:ascii="Calibri" w:hAnsi="Calibri" w:eastAsia="Microsoft YaHei"/>
                <w:b w:val="0"/>
                <w:color w:val="1F2933"/>
                <w:sz w:val="20"/>
              </w:rPr>
              <w:t>业务样例包全部为虚拟演示数据，不代表真实公司、真实市场事件或投资建议。正式实验必须替换为已授权的真实数据，并由业务人员确认经济含义。</w:t>
            </w:r>
          </w:p>
        </w:tc>
      </w:tr>
    </w:tbl>
    <w:p>
      <w:pPr>
        <w:spacing w:after="40"/>
      </w:pPr>
    </w:p>
    <w:sectPr w:rsidR="00FC693F" w:rsidRPr="0006063C" w:rsidSect="00034616">
      <w:headerReference w:type="default" r:id="rId9"/>
      <w:footerReference w:type="default" r:id="rId10"/>
      <w:pgSz w:w="12240" w:h="15840"/>
      <w:pgMar w:top="1181" w:right="1267" w:bottom="1181"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5E6C78"/>
        <w:sz w:val="16"/>
      </w:rPr>
      <w:t xml:space="preserve">DA-REQ-001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val="0"/>
        <w:color w:val="5E6C78"/>
        <w:sz w:val="17"/>
      </w:rPr>
      <w:t>AI Investment Copilot  |  数据分析与Alpha验证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Microsoft YaHe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34E7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34E7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Microsoft YaHei"/>
      <w:b/>
      <w:bCs/>
      <w:color w:val="31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