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276" w:lineRule="auto"/>
      </w:pPr>
      <w:r>
        <w:rPr>
          <w:rFonts w:ascii="Arial" w:hAnsi="Arial" w:eastAsia="Microsoft YaHei"/>
          <w:b/>
          <w:i w:val="0"/>
          <w:color w:val="2E74B5"/>
          <w:sz w:val="20"/>
        </w:rPr>
        <w:t>PRODUCT REQUIREMENTS DOCUMENT</w:t>
      </w:r>
    </w:p>
    <w:p>
      <w:pPr>
        <w:spacing w:before="0" w:after="80" w:line="276" w:lineRule="auto"/>
      </w:pPr>
      <w:r>
        <w:rPr>
          <w:rFonts w:ascii="Arial" w:hAnsi="Arial" w:eastAsia="Microsoft YaHei"/>
          <w:b/>
          <w:i w:val="0"/>
          <w:color w:val="183B56"/>
          <w:sz w:val="56"/>
        </w:rPr>
        <w:t>AI Investment Copilot</w:t>
      </w:r>
    </w:p>
    <w:p>
      <w:pPr>
        <w:spacing w:before="0" w:after="440" w:line="276" w:lineRule="auto"/>
      </w:pPr>
      <w:r>
        <w:rPr>
          <w:rFonts w:ascii="Arial" w:hAnsi="Arial" w:eastAsia="Microsoft YaHei"/>
          <w:b w:val="0"/>
          <w:i w:val="0"/>
          <w:color w:val="243746"/>
          <w:sz w:val="32"/>
        </w:rPr>
        <w:t>主动权益投资逻辑智能协作平台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r>
              <w:rPr>
                <w:rFonts w:ascii="Arial" w:hAnsi="Arial" w:eastAsia="Microsoft YaHei"/>
                <w:b/>
                <w:i w:val="0"/>
                <w:color w:val="2E74B5"/>
                <w:sz w:val="21"/>
              </w:rPr>
              <w:t xml:space="preserve">核心定义  </w:t>
            </w:r>
            <w:r>
              <w:rPr>
                <w:rFonts w:ascii="Arial" w:hAnsi="Arial" w:eastAsia="Microsoft YaHei"/>
                <w:b w:val="0"/>
                <w:i w:val="0"/>
                <w:color w:val="243746"/>
                <w:sz w:val="21"/>
              </w:rPr>
              <w:t>以“投资逻辑”为业务对象，以“结构化投资逻辑卡片”为产品载体，围绕创建、确认、跟踪、复核和复盘构建人机协作闭环。宏观架构用于支撑该对象和流程，而不是先于业务定义存在。</w:t>
            </w:r>
          </w:p>
        </w:tc>
      </w:tr>
    </w:tbl>
    <w:p>
      <w:pPr>
        <w:spacing w:before="0" w:after="2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8"/>
              </w:rPr>
              <w:t>文档属性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8"/>
              </w:rPr>
              <w:t>内容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8"/>
              </w:rPr>
              <w:t>版本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color w:val="243746"/>
                <w:sz w:val="18"/>
              </w:rPr>
              <w:t>V1.2（轻量数据验证增强版）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8"/>
              </w:rPr>
              <w:t>状态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8"/>
              </w:rPr>
              <w:t>需求评审稿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8"/>
              </w:rPr>
              <w:t>日期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8"/>
              </w:rPr>
              <w:t>2026-08-02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8"/>
              </w:rPr>
              <w:t>目标读者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8"/>
              </w:rPr>
              <w:t>业务负责人、产品经理、架构师、数据分析师、算法、研发、测试、风控与合规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8"/>
              </w:rPr>
              <w:t>相对V1.0主要调整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color w:val="243746"/>
                <w:sz w:val="18"/>
              </w:rPr>
              <w:t>在V1.1核心对象与交互定义基础上，增加指标与数据验证区块、标准化验证方法、确定性计算契约和结果跟踪；复杂因子研究与回测继续作为P2专业平台集成。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8"/>
              </w:rPr>
              <w:t>MVP原则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color w:val="243746"/>
                <w:sz w:val="18"/>
              </w:rPr>
              <w:t>核心验证逻辑结构化、事件关联和研究效率；内置预期差、趋势、简单同业比较及结果跟踪，不以短期回测证明超额收益。</w:t>
            </w:r>
          </w:p>
        </w:tc>
      </w:tr>
    </w:tbl>
    <w:p>
      <w:pPr>
        <w:spacing w:before="0" w:after="2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2E74B5"/>
          <w:sz w:val="32"/>
        </w:rPr>
        <w:t>目录</w:t>
      </w:r>
    </w:p>
    <w:p>
      <w:pPr>
        <w:spacing w:before="0" w:after="6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  <w:t>1. 产品背景与定位</w:t>
      </w:r>
    </w:p>
    <w:p>
      <w:pPr>
        <w:spacing w:before="0" w:after="6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  <w:t>2. 用户、问题与MVP边界</w:t>
      </w:r>
    </w:p>
    <w:p>
      <w:pPr>
        <w:pStyle w:val="Heading2"/>
      </w:pPr>
      <w:r>
        <w:rPr>
          <w:rFonts w:ascii="Arial" w:hAnsi="Arial" w:eastAsia="Microsoft YaHei"/>
          <w:b/>
          <w:color w:val="2E74B5"/>
          <w:sz w:val="26"/>
        </w:rPr>
        <w:t>2.5 有效性验证边界</w:t>
      </w:r>
    </w:p>
    <w:p>
      <w:pPr>
        <w:spacing w:after="120"/>
      </w:pPr>
      <w:r>
        <w:rPr>
          <w:rFonts w:ascii="Arial" w:hAnsi="Arial" w:eastAsia="Microsoft YaHei"/>
          <w:b w:val="0"/>
          <w:color w:val="243746"/>
          <w:sz w:val="21"/>
        </w:rPr>
        <w:t>MVP需要证明两类有效性：第一，AI能否正确结构化投资逻辑并关联新增事件；第二，产品能否降低信息筛选成本、提高研究过程的可追溯性。是否提高长期投资收益需要真实决策样本和更长周期，不能通过短期Demo或单次回测直接证明。</w:t>
      </w:r>
    </w:p>
    <w:p>
      <w:pPr>
        <w:spacing w:after="120"/>
      </w:pPr>
      <w:r>
        <w:rPr>
          <w:rFonts w:ascii="Arial" w:hAnsi="Arial" w:eastAsia="Microsoft YaHei"/>
          <w:b w:val="0"/>
          <w:color w:val="243746"/>
          <w:sz w:val="21"/>
        </w:rPr>
        <w:t>因此，MVP将预期与实际、趋势、简单同业比较和结果跟踪纳入核心闭环；复杂因子研究、风险模型和组合回测由专业量化平台承担。产品负责输出清晰的假设、指标、口径和验证任务，避免把尚未想清楚的金融模型交给AI自由生成。</w:t>
      </w:r>
    </w:p>
    <w:p>
      <w:pPr>
        <w:spacing w:before="0" w:after="6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  <w:t>3. 核心产品对象：投资逻辑</w:t>
      </w:r>
    </w:p>
    <w:p>
      <w:pPr>
        <w:spacing w:before="0" w:after="6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  <w:t>4. 投资逻辑结构化卡片</w:t>
      </w:r>
    </w:p>
    <w:p>
      <w:pPr>
        <w:spacing w:before="0" w:after="6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  <w:t>5. 核心对象关系与业务规则</w:t>
      </w:r>
    </w:p>
    <w:p>
      <w:pPr>
        <w:spacing w:before="0" w:after="6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  <w:t>6. 产品信息架构与核心页面</w:t>
      </w:r>
    </w:p>
    <w:p>
      <w:pPr>
        <w:spacing w:before="0" w:after="6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  <w:t>7. 核心用户流程</w:t>
      </w:r>
    </w:p>
    <w:p>
      <w:pPr>
        <w:spacing w:before="0" w:after="6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  <w:t>8. 宏观产品与系统架构</w:t>
      </w:r>
    </w:p>
    <w:p>
      <w:pPr>
        <w:spacing w:before="0" w:after="6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  <w:t>9. 功能需求</w:t>
      </w:r>
    </w:p>
    <w:p>
      <w:pPr>
        <w:spacing w:before="0" w:after="6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  <w:t>10. AI任务与输入输出契约</w:t>
      </w:r>
    </w:p>
    <w:p>
      <w:pPr>
        <w:spacing w:before="0" w:after="6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  <w:t>11. 数据需求与分析指标</w:t>
      </w:r>
    </w:p>
    <w:p>
      <w:pPr>
        <w:spacing w:before="0" w:after="6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  <w:t>12. 权限、合规与非功能需求</w:t>
      </w:r>
    </w:p>
    <w:p>
      <w:pPr>
        <w:spacing w:before="0" w:after="6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  <w:t>13. MVP验收与版本规划</w:t>
      </w:r>
    </w:p>
    <w:p>
      <w:pPr>
        <w:spacing w:before="0" w:after="6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  <w:t>14. 风险与待确认事项</w:t>
      </w:r>
    </w:p>
    <w:p>
      <w:pPr>
        <w:spacing w:before="0" w:after="6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  <w:t>附录A. 完整示例卡片</w:t>
      </w:r>
    </w:p>
    <w:p>
      <w:pPr>
        <w:spacing w:before="0" w:after="6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  <w:t>附录B. 术语表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2E74B5"/>
          <w:sz w:val="32"/>
        </w:rPr>
        <w:t>1. 产品背景与定位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1.1 背景</w:t>
      </w:r>
    </w:p>
    <w:p>
      <w:pPr>
        <w:spacing w:before="0" w:after="12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  <w:t>主动权益投资的核心并不是获得更多信息，而是形成对企业未来价值变化的判断，并持续验证该判断。当前研究员的观点大量存在于研报、调研纪要、会议交流、Excel模型和个人认知中，缺少统一、可持续维护的表达方式。现有搜索、资讯和情绪工具能够说明“发生了什么”，但通常无法回答“这件事影响了哪条投资假设，是否改变原来的持有理由”。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1.2 产品定位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r>
              <w:rPr>
                <w:rFonts w:ascii="Arial" w:hAnsi="Arial" w:eastAsia="Microsoft YaHei"/>
                <w:b/>
                <w:i w:val="0"/>
                <w:color w:val="2E74B5"/>
                <w:sz w:val="21"/>
              </w:rPr>
              <w:t xml:space="preserve">一句话定位  </w:t>
            </w:r>
            <w:r>
              <w:rPr>
                <w:rFonts w:ascii="Arial" w:hAnsi="Arial" w:eastAsia="Microsoft YaHei"/>
                <w:b w:val="0"/>
                <w:i w:val="0"/>
                <w:color w:val="243746"/>
                <w:sz w:val="21"/>
              </w:rPr>
              <w:t>帮助主动权益研究团队把投资观点转化为可验证的结构化投资逻辑，并将后续事实、事件和指标变化持续关联到具体假设，形成可追踪、可复核、可复盘的研究过程。</w:t>
            </w:r>
          </w:p>
        </w:tc>
      </w:tr>
    </w:tbl>
    <w:p>
      <w:pPr>
        <w:spacing w:before="0" w:after="2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</w:r>
    </w:p>
    <w:p>
      <w:pPr>
        <w:spacing w:before="0" w:after="12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  <w:t>产品不直接给出自动买卖指令，不替代研究员和基金经理。市场情绪分析、事件识别、财务数据和因子验证均为投资逻辑的输入或验证能力，而不是产品核心对象。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1.3 建设目标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650"/>
        <w:gridCol w:w="381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目标</w:t>
            </w:r>
          </w:p>
        </w:tc>
        <w:tc>
          <w:tcPr>
            <w:tcW w:type="dxa" w:w="3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产品结果</w:t>
            </w:r>
          </w:p>
        </w:tc>
        <w:tc>
          <w:tcPr>
            <w:tcW w:type="dxa" w:w="3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价值验证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投资判断结构化</w:t>
            </w:r>
          </w:p>
        </w:tc>
        <w:tc>
          <w:tcPr>
            <w:tcW w:type="dxa" w:w="3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形成标准投资逻辑卡片</w:t>
            </w:r>
          </w:p>
        </w:tc>
        <w:tc>
          <w:tcPr>
            <w:tcW w:type="dxa" w:w="3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建档时间、人工确认率、字段修改率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变化与判断关联</w:t>
            </w:r>
          </w:p>
        </w:tc>
        <w:tc>
          <w:tcPr>
            <w:tcW w:type="dxa" w:w="3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将新增事件关联到具体假设</w:t>
            </w:r>
          </w:p>
        </w:tc>
        <w:tc>
          <w:tcPr>
            <w:tcW w:type="dxa" w:w="3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有效变化率、无关提醒率、关联准确率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人机协作可控</w:t>
            </w:r>
          </w:p>
        </w:tc>
        <w:tc>
          <w:tcPr>
            <w:tcW w:type="dxa" w:w="3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AI生成草稿，正式记录由人确认</w:t>
            </w:r>
          </w:p>
        </w:tc>
        <w:tc>
          <w:tcPr>
            <w:tcW w:type="dxa" w:w="3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人工确认覆盖率、错误纠正率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研究过程沉淀</w:t>
            </w:r>
          </w:p>
        </w:tc>
        <w:tc>
          <w:tcPr>
            <w:tcW w:type="dxa" w:w="3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保留版本、证据、预期和动作</w:t>
            </w:r>
          </w:p>
        </w:tc>
        <w:tc>
          <w:tcPr>
            <w:tcW w:type="dxa" w:w="3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可追溯率、复盘覆盖率、案例复用率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长期能力扩展</w:t>
            </w:r>
          </w:p>
        </w:tc>
        <w:tc>
          <w:tcPr>
            <w:tcW w:type="dxa" w:w="3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接入财务、因子和组合体系</w:t>
            </w:r>
          </w:p>
        </w:tc>
        <w:tc>
          <w:tcPr>
            <w:tcW w:type="dxa" w:w="38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在核心对象稳定后分阶段验证</w:t>
            </w:r>
          </w:p>
        </w:tc>
      </w:tr>
    </w:tbl>
    <w:p>
      <w:pPr>
        <w:spacing w:before="0" w:after="2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1.4 非目标</w:t>
      </w:r>
    </w:p>
    <w:p>
      <w:pPr>
        <w:pStyle w:val="ListBullet"/>
        <w:spacing w:after="80"/>
      </w:pPr>
      <w:r>
        <w:rPr>
          <w:rFonts w:ascii="Arial" w:hAnsi="Arial" w:eastAsia="Microsoft YaHei"/>
          <w:b w:val="0"/>
          <w:i w:val="0"/>
          <w:color w:val="243746"/>
          <w:sz w:val="21"/>
        </w:rPr>
        <w:t>MVP不建设自动荐股、自动评级、自动调仓或交易系统。</w:t>
      </w:r>
    </w:p>
    <w:p>
      <w:pPr>
        <w:pStyle w:val="ListBullet"/>
        <w:spacing w:after="80"/>
      </w:pPr>
      <w:r>
        <w:rPr>
          <w:rFonts w:ascii="Arial" w:hAnsi="Arial" w:eastAsia="Microsoft YaHei"/>
          <w:b w:val="0"/>
          <w:i w:val="0"/>
          <w:color w:val="243746"/>
          <w:sz w:val="21"/>
        </w:rPr>
        <w:t>MVP不建设全市场新闻终端，不替代现有数据和文档系统。</w:t>
      </w:r>
    </w:p>
    <w:p>
      <w:pPr>
        <w:pStyle w:val="ListBullet"/>
        <w:spacing w:after="80"/>
      </w:pPr>
      <w:r>
        <w:rPr>
          <w:rFonts w:ascii="Arial" w:hAnsi="Arial" w:eastAsia="Microsoft YaHei"/>
          <w:b w:val="0"/>
          <w:i w:val="0"/>
          <w:color w:val="243746"/>
          <w:sz w:val="21"/>
        </w:rPr>
        <w:t>MVP不要求先完成全部外部数据接口，可通过上传真实授权资料验证核心闭环。</w:t>
      </w:r>
    </w:p>
    <w:p>
      <w:pPr>
        <w:pStyle w:val="ListBullet"/>
        <w:spacing w:after="80"/>
      </w:pPr>
      <w:r>
        <w:rPr>
          <w:rFonts w:ascii="Arial" w:hAnsi="Arial" w:eastAsia="Microsoft YaHei"/>
          <w:b w:val="0"/>
          <w:i w:val="0"/>
          <w:color w:val="243746"/>
          <w:sz w:val="21"/>
        </w:rPr>
        <w:t>MVP不使用未经校准的精确“逻辑可信度百分比”。</w:t>
      </w:r>
    </w:p>
    <w:p>
      <w:pPr>
        <w:pStyle w:val="ListBullet"/>
        <w:spacing w:after="80"/>
      </w:pPr>
      <w:r>
        <w:rPr>
          <w:rFonts w:ascii="Arial" w:hAnsi="Arial" w:eastAsia="Microsoft YaHei"/>
          <w:b w:val="0"/>
          <w:i w:val="0"/>
          <w:color w:val="243746"/>
          <w:sz w:val="21"/>
        </w:rPr>
        <w:t>MVP不将所有公司逻辑强制转化为量化因子。</w:t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2E74B5"/>
          <w:sz w:val="32"/>
        </w:rPr>
        <w:t>2. 用户、问题与MVP边界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2.1 核心用户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2700"/>
        <w:gridCol w:w="3300"/>
        <w:gridCol w:w="1660"/>
      </w:tblGrid>
      <w:tr>
        <w:trPr>
          <w:tblHeader w:val="true"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用户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工作目标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产品任务</w:t>
            </w:r>
          </w:p>
        </w:tc>
        <w:tc>
          <w:tcPr>
            <w:tcW w:type="dxa" w:w="1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首期优先级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行业研究员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形成和维护公司判断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创建卡片、确认假设、处理变化、发起复核</w:t>
            </w:r>
          </w:p>
        </w:tc>
        <w:tc>
          <w:tcPr>
            <w:tcW w:type="dxa" w:w="1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核心用户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基金经理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快速理解持仓依据和重大变化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查看重点逻辑、评论、要求复核</w:t>
            </w:r>
          </w:p>
        </w:tc>
        <w:tc>
          <w:tcPr>
            <w:tcW w:type="dxa" w:w="1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结果用户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研究主管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管理覆盖和研究质量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查看团队逻辑、审核、组织复盘</w:t>
            </w:r>
          </w:p>
        </w:tc>
        <w:tc>
          <w:tcPr>
            <w:tcW w:type="dxa" w:w="1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P1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投管/风控/合规</w:t>
            </w:r>
          </w:p>
        </w:tc>
        <w:tc>
          <w:tcPr>
            <w:tcW w:type="dxa" w:w="2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确保流程可追溯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查看审计、规则和权限</w:t>
            </w:r>
          </w:p>
        </w:tc>
        <w:tc>
          <w:tcPr>
            <w:tcW w:type="dxa" w:w="1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基础能力</w:t>
            </w:r>
          </w:p>
        </w:tc>
      </w:tr>
    </w:tbl>
    <w:p>
      <w:pPr>
        <w:spacing w:before="0" w:after="2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2.2 核心问题</w:t>
      </w:r>
    </w:p>
    <w:p>
      <w:pPr>
        <w:pStyle w:val="ListNumber"/>
        <w:spacing w:after="80"/>
      </w:pPr>
      <w:r>
        <w:rPr>
          <w:rFonts w:ascii="Arial" w:hAnsi="Arial" w:eastAsia="Microsoft YaHei"/>
          <w:b w:val="0"/>
          <w:i w:val="0"/>
          <w:color w:val="243746"/>
          <w:sz w:val="21"/>
        </w:rPr>
        <w:t>研究员的投资判断没有标准表达，系统无法理解“为什么看好”。</w:t>
      </w:r>
    </w:p>
    <w:p>
      <w:pPr>
        <w:pStyle w:val="ListNumber"/>
        <w:spacing w:after="80"/>
      </w:pPr>
      <w:r>
        <w:rPr>
          <w:rFonts w:ascii="Arial" w:hAnsi="Arial" w:eastAsia="Microsoft YaHei"/>
          <w:b w:val="0"/>
          <w:i w:val="0"/>
          <w:color w:val="243746"/>
          <w:sz w:val="21"/>
        </w:rPr>
        <w:t>后续信息与原始假设缺少关联，研究员反复人工筛选。</w:t>
      </w:r>
    </w:p>
    <w:p>
      <w:pPr>
        <w:pStyle w:val="ListNumber"/>
        <w:spacing w:after="80"/>
      </w:pPr>
      <w:r>
        <w:rPr>
          <w:rFonts w:ascii="Arial" w:hAnsi="Arial" w:eastAsia="Microsoft YaHei"/>
          <w:b w:val="0"/>
          <w:i w:val="0"/>
          <w:color w:val="243746"/>
          <w:sz w:val="21"/>
        </w:rPr>
        <w:t>系统没有记录研究员当时的预期，难以判断超预期或低于预期。</w:t>
      </w:r>
    </w:p>
    <w:p>
      <w:pPr>
        <w:pStyle w:val="ListNumber"/>
        <w:spacing w:after="80"/>
      </w:pPr>
      <w:r>
        <w:rPr>
          <w:rFonts w:ascii="Arial" w:hAnsi="Arial" w:eastAsia="Microsoft YaHei"/>
          <w:b w:val="0"/>
          <w:i w:val="0"/>
          <w:color w:val="243746"/>
          <w:sz w:val="21"/>
        </w:rPr>
        <w:t>观点变化只体现在新研报里，缺少版本和原因。</w:t>
      </w:r>
    </w:p>
    <w:p>
      <w:pPr>
        <w:pStyle w:val="ListNumber"/>
        <w:spacing w:after="80"/>
      </w:pPr>
      <w:r>
        <w:rPr>
          <w:rFonts w:ascii="Arial" w:hAnsi="Arial" w:eastAsia="Microsoft YaHei"/>
          <w:b w:val="0"/>
          <w:i w:val="0"/>
          <w:color w:val="243746"/>
          <w:sz w:val="21"/>
        </w:rPr>
        <w:t>投资结果可见，但判断过程和错误来源难以复盘。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2.3 MVP边界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200"/>
        <w:gridCol w:w="3100"/>
        <w:gridCol w:w="3060"/>
      </w:tblGrid>
      <w:tr>
        <w:trPr>
          <w:tblHeader w:val="true"/>
        </w:trPr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MVP必须完成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MVP可简化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暂不进入MVP</w:t>
            </w:r>
          </w:p>
        </w:tc>
      </w:tr>
      <w:tr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逻辑卡片创建、AI拆解、人工确认、版本管理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数据来源先支持手工输入、PDF/DOCX/TXT上传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自动接入全量新闻与行情</w:t>
            </w:r>
          </w:p>
        </w:tc>
      </w:tr>
      <w:tr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新资料生成候选证据并关联假设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证券主数据先覆盖试点公司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组合优化和交易执行</w:t>
            </w:r>
          </w:p>
        </w:tc>
      </w:tr>
      <w:tr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研究员确认/驳回/修改关联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状态规则采用少量离散规则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大规模因子自动挖掘</w:t>
            </w:r>
          </w:p>
        </w:tc>
      </w:tr>
      <w:tr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状态复核、时间线和基础复盘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通知先做站内待办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个人研究能力评分</w:t>
            </w:r>
          </w:p>
        </w:tc>
      </w:tr>
    </w:tbl>
    <w:p>
      <w:pPr>
        <w:spacing w:before="0" w:after="2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2.4 MVP验证假设</w:t>
      </w:r>
    </w:p>
    <w:p>
      <w:pPr>
        <w:pStyle w:val="ListBullet"/>
        <w:spacing w:after="80"/>
      </w:pPr>
      <w:r>
        <w:rPr>
          <w:rFonts w:ascii="Arial" w:hAnsi="Arial" w:eastAsia="Microsoft YaHei"/>
          <w:b w:val="0"/>
          <w:i w:val="0"/>
          <w:color w:val="243746"/>
          <w:sz w:val="21"/>
        </w:rPr>
        <w:t>研究员是否认可卡片结构，愿意将核心观点和预期显式化。</w:t>
      </w:r>
    </w:p>
    <w:p>
      <w:pPr>
        <w:pStyle w:val="ListBullet"/>
        <w:spacing w:after="80"/>
      </w:pPr>
      <w:r>
        <w:rPr>
          <w:rFonts w:ascii="Arial" w:hAnsi="Arial" w:eastAsia="Microsoft YaHei"/>
          <w:b w:val="0"/>
          <w:i w:val="0"/>
          <w:color w:val="243746"/>
          <w:sz w:val="21"/>
        </w:rPr>
        <w:t>AI是否能够从研究资料中产生可接受的卡片草稿。</w:t>
      </w:r>
    </w:p>
    <w:p>
      <w:pPr>
        <w:pStyle w:val="ListBullet"/>
        <w:spacing w:after="80"/>
      </w:pPr>
      <w:r>
        <w:rPr>
          <w:rFonts w:ascii="Arial" w:hAnsi="Arial" w:eastAsia="Microsoft YaHei"/>
          <w:b w:val="0"/>
          <w:i w:val="0"/>
          <w:color w:val="243746"/>
          <w:sz w:val="21"/>
        </w:rPr>
        <w:t>新信息是否能够稳定关联到正确的逻辑和假设。</w:t>
      </w:r>
    </w:p>
    <w:p>
      <w:pPr>
        <w:pStyle w:val="ListBullet"/>
        <w:spacing w:after="80"/>
      </w:pPr>
      <w:r>
        <w:rPr>
          <w:rFonts w:ascii="Arial" w:hAnsi="Arial" w:eastAsia="Microsoft YaHei"/>
          <w:b w:val="0"/>
          <w:i w:val="0"/>
          <w:color w:val="243746"/>
          <w:sz w:val="21"/>
        </w:rPr>
        <w:t>这种关联是否比普通资讯摘要减少筛选时间、提高变化发现质量。</w:t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2E74B5"/>
          <w:sz w:val="32"/>
        </w:rPr>
        <w:t>3. 核心产品对象：投资逻辑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3.1 业务定义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r>
              <w:rPr>
                <w:rFonts w:ascii="Arial" w:hAnsi="Arial" w:eastAsia="Microsoft YaHei"/>
                <w:b/>
                <w:i w:val="0"/>
                <w:color w:val="2E74B5"/>
                <w:sz w:val="21"/>
              </w:rPr>
              <w:t xml:space="preserve">投资逻辑定义  </w:t>
            </w:r>
            <w:r>
              <w:rPr>
                <w:rFonts w:ascii="Arial" w:hAnsi="Arial" w:eastAsia="Microsoft YaHei"/>
                <w:b w:val="0"/>
                <w:i w:val="0"/>
                <w:color w:val="243746"/>
                <w:sz w:val="21"/>
              </w:rPr>
              <w:t>研究员针对特定投资对象，在明确时间范围内，对未来价值变化作出的、由若干可验证假设支撑的判断。</w:t>
            </w:r>
          </w:p>
        </w:tc>
      </w:tr>
    </w:tbl>
    <w:p>
      <w:pPr>
        <w:spacing w:before="0" w:after="2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50"/>
        <w:gridCol w:w="3500"/>
        <w:gridCol w:w="4110"/>
      </w:tblGrid>
      <w:tr>
        <w:trPr>
          <w:tblHeader w:val="true"/>
        </w:trP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必要组成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判断标准</w:t>
            </w:r>
          </w:p>
        </w:tc>
        <w:tc>
          <w:tcPr>
            <w:tcW w:type="dxa" w:w="4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示例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投资对象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明确公司、行业或主题</w:t>
            </w:r>
          </w:p>
        </w:tc>
        <w:tc>
          <w:tcPr>
            <w:tcW w:type="dxa" w:w="4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某新能源设备公司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方向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看多、看空或观察</w:t>
            </w:r>
          </w:p>
        </w:tc>
        <w:tc>
          <w:tcPr>
            <w:tcW w:type="dxa" w:w="4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看多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时间范围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明确判断适用期限</w:t>
            </w:r>
          </w:p>
        </w:tc>
        <w:tc>
          <w:tcPr>
            <w:tcW w:type="dxa" w:w="4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未来8个季度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价值驱动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说明价值为何变化</w:t>
            </w:r>
          </w:p>
        </w:tc>
        <w:tc>
          <w:tcPr>
            <w:tcW w:type="dxa" w:w="4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海外储能成为第二增长曲线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关键假设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逻辑成立必须满足的条件</w:t>
            </w:r>
          </w:p>
        </w:tc>
        <w:tc>
          <w:tcPr>
            <w:tcW w:type="dxa" w:w="4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海外需求增长、订单份额提升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验证方式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能够由指标或事件支持/反驳</w:t>
            </w:r>
          </w:p>
        </w:tc>
        <w:tc>
          <w:tcPr>
            <w:tcW w:type="dxa" w:w="4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海外收入、订单、毛利率、政策</w:t>
            </w:r>
          </w:p>
        </w:tc>
      </w:tr>
      <w:t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失效条件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出现后必须重新评估</w:t>
            </w:r>
          </w:p>
        </w:tc>
        <w:tc>
          <w:tcPr>
            <w:tcW w:type="dxa" w:w="41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连续两个季度显著低于预期</w:t>
            </w:r>
          </w:p>
        </w:tc>
      </w:tr>
    </w:tbl>
    <w:p>
      <w:pPr>
        <w:spacing w:before="0" w:after="2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3.2 边界示例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2000"/>
        <w:gridCol w:w="4360"/>
      </w:tblGrid>
      <w:tr>
        <w:trPr>
          <w:tblHeader w:val="true"/>
        </w:trP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表达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是否构成完整投资逻辑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原因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看好宁德时代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否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缺少价值驱动、时间范围和验证条件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海外收入增长30%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否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这是事实或指标，不是判断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欧洲补贴下降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否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这是事件或风险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储能行业空间很大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否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仅为行业判断，未连接投资对象和价值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未来两年海外储能收入增长将推动公司利润提升</w:t>
            </w:r>
          </w:p>
        </w:tc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接近完整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还需补充关键假设、预期和失效条件</w:t>
            </w:r>
          </w:p>
        </w:tc>
      </w:tr>
    </w:tbl>
    <w:p>
      <w:pPr>
        <w:spacing w:before="0" w:after="2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3.3 投资逻辑与其他对象的关系</w:t>
      </w:r>
    </w:p>
    <w:p>
      <w:pPr>
        <w:spacing w:before="0" w:after="12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  <w:t>证券是逻辑的研究对象，文档是逻辑的来源，指标和事件是逻辑的验证手段，研究员预期是判断“符合/偏离”的基准，证据是经过确认后进入正式研究记录的事实，状态是逻辑当前所处阶段。投资逻辑卡片将这些内容组织在一个可长期维护的详情页中。</w:t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2E74B5"/>
          <w:sz w:val="32"/>
        </w:rPr>
        <w:t>4. 投资逻辑结构化卡片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4.1 卡片定位</w:t>
      </w:r>
    </w:p>
    <w:p>
      <w:pPr>
        <w:spacing w:before="0" w:after="12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  <w:t>投资逻辑卡片是Investment Thesis的主要产品载体，不是静态摘要。它同时承担创建、编辑、跟踪、确认、复核和查看历史版本的职责。卡片由六个业务区块和一个系统区块组成。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4.2 卡片区块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50"/>
        <w:gridCol w:w="3300"/>
        <w:gridCol w:w="4210"/>
      </w:tblGrid>
      <w:tr>
        <w:trPr>
          <w:tblHeader w:val="true"/>
        </w:trPr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区块</w:t>
            </w:r>
          </w:p>
        </w:tc>
        <w:tc>
          <w:tcPr>
            <w:tcW w:type="dxa" w:w="3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回答的问题</w:t>
            </w:r>
          </w:p>
        </w:tc>
        <w:tc>
          <w:tcPr>
            <w:tcW w:type="dxa" w:w="42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核心内容</w:t>
            </w:r>
          </w:p>
        </w:tc>
      </w:tr>
      <w:t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A. 基本信息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研究谁、判断方向和期限是什么</w:t>
            </w:r>
          </w:p>
        </w:tc>
        <w:tc>
          <w:tcPr>
            <w:tcW w:type="dxa" w:w="4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对象、标题、方向、周期、负责人、状态</w:t>
            </w:r>
          </w:p>
        </w:tc>
      </w:tr>
      <w:t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B. 核心观点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为什么值得关注或持有</w:t>
            </w:r>
          </w:p>
        </w:tc>
        <w:tc>
          <w:tcPr>
            <w:tcW w:type="dxa" w:w="4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单一、简洁、经研究员确认的判断</w:t>
            </w:r>
          </w:p>
        </w:tc>
      </w:tr>
      <w:t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C. 关键假设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观点成立必须满足哪些条件</w:t>
            </w:r>
          </w:p>
        </w:tc>
        <w:tc>
          <w:tcPr>
            <w:tcW w:type="dxa" w:w="4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2至5条假设、类型、重要性和层级</w:t>
            </w:r>
          </w:p>
        </w:tc>
      </w:tr>
      <w:t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D. 验证指标与预期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未来看什么、达到什么水平算符合预期</w:t>
            </w:r>
          </w:p>
        </w:tc>
        <w:tc>
          <w:tcPr>
            <w:tcW w:type="dxa" w:w="4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指标、口径、当前值、预期、频率、阈值</w:t>
            </w:r>
          </w:p>
        </w:tc>
      </w:tr>
      <w:t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E. 证据与变化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现实如何验证原判断</w:t>
            </w:r>
          </w:p>
        </w:tc>
        <w:tc>
          <w:tcPr>
            <w:tcW w:type="dxa" w:w="4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事件、关联假设、方向、来源、确认状态</w:t>
            </w:r>
          </w:p>
        </w:tc>
      </w:tr>
      <w:t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F. 指标与数据验证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数据是否支持假设及原始预期</w:t>
            </w:r>
          </w:p>
        </w:tc>
        <w:tc>
          <w:tcPr>
            <w:tcW w:type="dxa" w:w="4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预期差、趋势、简单同业比较、后续结果</w:t>
            </w:r>
          </w:p>
        </w:tc>
      </w:tr>
      <w:t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G. 风险与失效条件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什么需要关注、什么会推翻逻辑</w:t>
            </w:r>
          </w:p>
        </w:tc>
        <w:tc>
          <w:tcPr>
            <w:tcW w:type="dxa" w:w="4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风险、失效规则、观察窗口</w:t>
            </w:r>
          </w:p>
        </w:tc>
      </w:tr>
      <w:t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H. 版本与操作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观点如何变化、谁做了什么</w:t>
            </w:r>
          </w:p>
        </w:tc>
        <w:tc>
          <w:tcPr>
            <w:tcW w:type="dxa" w:w="4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版本、时间线、评论、复核和关闭原因</w:t>
            </w:r>
          </w:p>
        </w:tc>
      </w:tr>
    </w:tbl>
    <w:p>
      <w:pPr>
        <w:spacing w:before="0" w:after="2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4.3 字段字典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50"/>
        <w:gridCol w:w="2100"/>
        <w:gridCol w:w="800"/>
        <w:gridCol w:w="2200"/>
        <w:gridCol w:w="2610"/>
      </w:tblGrid>
      <w:tr>
        <w:trPr>
          <w:tblHeader w:val="true"/>
        </w:trP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6"/>
              </w:rPr>
              <w:t>字段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6"/>
              </w:rPr>
              <w:t>类型/约束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6"/>
              </w:rPr>
              <w:t>必填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6"/>
              </w:rPr>
              <w:t>生成方式</w:t>
            </w:r>
          </w:p>
        </w:tc>
        <w:tc>
          <w:tcPr>
            <w:tcW w:type="dxa" w:w="2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6"/>
              </w:rPr>
              <w:t>说明</w:t>
            </w:r>
          </w:p>
        </w:tc>
      </w:tr>
      <w:t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thesis_id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系统唯一ID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是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系统</w:t>
            </w:r>
          </w:p>
        </w:tc>
        <w:tc>
          <w:tcPr>
            <w:tcW w:type="dxa" w:w="2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逻辑主键</w:t>
            </w:r>
          </w:p>
        </w:tc>
      </w:tr>
      <w:t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security_id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证券/行业/主题ID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是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用户选择+实体识别</w:t>
            </w:r>
          </w:p>
        </w:tc>
        <w:tc>
          <w:tcPr>
            <w:tcW w:type="dxa" w:w="2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MVP优先证券</w:t>
            </w:r>
          </w:p>
        </w:tc>
      </w:tr>
      <w:t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title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不超过40字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是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AI建议+人工确认</w:t>
            </w:r>
          </w:p>
        </w:tc>
        <w:tc>
          <w:tcPr>
            <w:tcW w:type="dxa" w:w="2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概括价值驱动</w:t>
            </w:r>
          </w:p>
        </w:tc>
      </w:tr>
      <w:t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direction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看多/看空/观察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是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人工</w:t>
            </w:r>
          </w:p>
        </w:tc>
        <w:tc>
          <w:tcPr>
            <w:tcW w:type="dxa" w:w="2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不等同交易指令</w:t>
            </w:r>
          </w:p>
        </w:tc>
      </w:tr>
      <w:t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time_horizon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日期区间或季度数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是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人工</w:t>
            </w:r>
          </w:p>
        </w:tc>
        <w:tc>
          <w:tcPr>
            <w:tcW w:type="dxa" w:w="2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决定复核和到期</w:t>
            </w:r>
          </w:p>
        </w:tc>
      </w:tr>
      <w:t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core_view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不超过200字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是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AI建议+人工确认</w:t>
            </w:r>
          </w:p>
        </w:tc>
        <w:tc>
          <w:tcPr>
            <w:tcW w:type="dxa" w:w="2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仅保留一个核心判断</w:t>
            </w:r>
          </w:p>
        </w:tc>
      </w:tr>
      <w:t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owner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用户ID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是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人工</w:t>
            </w:r>
          </w:p>
        </w:tc>
        <w:tc>
          <w:tcPr>
            <w:tcW w:type="dxa" w:w="2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对维护和复核负责</w:t>
            </w:r>
          </w:p>
        </w:tc>
      </w:tr>
      <w:t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visibility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私有/团队/授权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是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人工</w:t>
            </w:r>
          </w:p>
        </w:tc>
        <w:tc>
          <w:tcPr>
            <w:tcW w:type="dxa" w:w="2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控制卡片及证据可见性</w:t>
            </w:r>
          </w:p>
        </w:tc>
      </w:tr>
      <w:t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status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离散状态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是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系统+人工</w:t>
            </w:r>
          </w:p>
        </w:tc>
        <w:tc>
          <w:tcPr>
            <w:tcW w:type="dxa" w:w="2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正式变化需留痕</w:t>
            </w:r>
          </w:p>
        </w:tc>
      </w:tr>
      <w:t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next_review_at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日期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是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人工/规则</w:t>
            </w:r>
          </w:p>
        </w:tc>
        <w:tc>
          <w:tcPr>
            <w:tcW w:type="dxa" w:w="2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到期生成待办</w:t>
            </w:r>
          </w:p>
        </w:tc>
      </w:tr>
      <w:tr>
        <w:tc>
          <w:tcPr>
            <w:tcW w:type="dxa" w:w="1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version</w:t>
            </w:r>
          </w:p>
        </w:tc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正整数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是</w:t>
            </w:r>
          </w:p>
        </w:tc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系统</w:t>
            </w:r>
          </w:p>
        </w:tc>
        <w:tc>
          <w:tcPr>
            <w:tcW w:type="dxa" w:w="2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每次正式修改递增</w:t>
            </w:r>
          </w:p>
        </w:tc>
      </w:tr>
    </w:tbl>
    <w:p>
      <w:pPr>
        <w:spacing w:before="0" w:after="2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4.4 关键假设字段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3900"/>
        <w:gridCol w:w="3260"/>
      </w:tblGrid>
      <w:tr>
        <w:trPr>
          <w:tblHeader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字段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约束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示例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hypothesis_id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系统唯一ID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H-001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statement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必须可被事实或数据支持/反驳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海外储能需求持续增长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type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行业/公司竞争力/经营/盈利/政策/估值/其他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行业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importance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核心/辅助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核心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parent_id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可为空，用于逻辑层级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空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status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待验证/支持/分歧/风险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待验证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owner_note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研究员补充说明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重点关注欧洲和美国市场</w:t>
            </w:r>
          </w:p>
        </w:tc>
      </w:tr>
    </w:tbl>
    <w:p>
      <w:pPr>
        <w:spacing w:before="0" w:after="2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4.5 验证指标与预期字段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3900"/>
        <w:gridCol w:w="3260"/>
      </w:tblGrid>
      <w:tr>
        <w:trPr>
          <w:tblHeader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字段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说明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示例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indicator_name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指标名称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海外订单同比增速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definition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业务口径和计算口径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报告期内新签海外储能订单同比增速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unit/frequency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单位和更新频率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% / 季度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current_value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最近可得值及报告期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35% / 2026Q2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expectation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研究员当时预期值或区间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不低于30%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threshold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触发关注或失效的规则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连续两季度低于20%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source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数据来源及版本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公司公告/数据服务</w:t>
            </w:r>
          </w:p>
        </w:tc>
      </w:tr>
    </w:tbl>
    <w:p>
      <w:pPr>
        <w:spacing w:before="0" w:after="2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4.6 证据字段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3900"/>
        <w:gridCol w:w="3260"/>
      </w:tblGrid>
      <w:tr>
        <w:trPr>
          <w:tblHeader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字段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取值/规则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evidence_type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事实/事件/指标变化/管理层表述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区分内容类型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direction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支持/冲突/中性/无关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相对于具体假设，不是通用情绪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strength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高/中/低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依据来源、直接性、时效性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source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文档ID、来源、时间、位置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必须能够打开原文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related_hypothesis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至少关联一条假设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允许人工修改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ai_status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候选/低置信/解析失败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AI处理状态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confirmation_status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待确认/已确认/已驳回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只有已确认进入正式证据链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confirmed_by/at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用户与时间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用于审计</w:t>
            </w:r>
          </w:p>
        </w:tc>
      </w:tr>
    </w:tbl>
    <w:p>
      <w:pPr>
        <w:spacing w:before="0" w:after="2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4.7 风险与失效条件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3000"/>
        <w:gridCol w:w="3000"/>
        <w:gridCol w:w="1860"/>
      </w:tblGrid>
      <w:tr>
        <w:trPr>
          <w:tblHeader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概念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定义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1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系统动作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风险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可能削弱逻辑但未达到推翻程度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欧洲补贴下降、竞争者扩产</w:t>
            </w:r>
          </w:p>
        </w:tc>
        <w:tc>
          <w:tcPr>
            <w:tcW w:type="dxa" w:w="1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进入关注列表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失效条件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触发后必须强制重新评估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海外收入连续两季度低于预期20%以上</w:t>
            </w:r>
          </w:p>
        </w:tc>
        <w:tc>
          <w:tcPr>
            <w:tcW w:type="dxa" w:w="1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生成高优先级复核任务</w:t>
            </w:r>
          </w:p>
        </w:tc>
      </w:tr>
    </w:tbl>
    <w:p>
      <w:pPr>
        <w:spacing w:before="0" w:after="2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2E74B5"/>
          <w:sz w:val="32"/>
        </w:rPr>
        <w:t>5. 核心对象关系与业务规则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5.1 对象关系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1200"/>
        <w:gridCol w:w="5160"/>
      </w:tblGrid>
      <w:tr>
        <w:trPr>
          <w:tblHeader w:val="true"/>
        </w:trP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关系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基数</w:t>
            </w:r>
          </w:p>
        </w:tc>
        <w:tc>
          <w:tcPr>
            <w:tcW w:type="dxa" w:w="5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规则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证券 → 投资逻辑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1:N</w:t>
            </w:r>
          </w:p>
        </w:tc>
        <w:tc>
          <w:tcPr>
            <w:tcW w:type="dxa" w:w="5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同一证券可存在多条不同价值驱动和期限的逻辑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投资逻辑 → 关键假设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1:N</w:t>
            </w:r>
          </w:p>
        </w:tc>
        <w:tc>
          <w:tcPr>
            <w:tcW w:type="dxa" w:w="5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每条逻辑建议2至5条，至少1条核心假设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关键假设 → 指标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1:N</w:t>
            </w:r>
          </w:p>
        </w:tc>
        <w:tc>
          <w:tcPr>
            <w:tcW w:type="dxa" w:w="5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指标必须有口径、预期或观察目的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关键假设 → 证据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1:N</w:t>
            </w:r>
          </w:p>
        </w:tc>
        <w:tc>
          <w:tcPr>
            <w:tcW w:type="dxa" w:w="5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证据方向相对于假设判断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投资逻辑 → 风险/失效条件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1:N</w:t>
            </w:r>
          </w:p>
        </w:tc>
        <w:tc>
          <w:tcPr>
            <w:tcW w:type="dxa" w:w="5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失效条件必须有明确观察窗口或事件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投资逻辑 → 版本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1:N</w:t>
            </w:r>
          </w:p>
        </w:tc>
        <w:tc>
          <w:tcPr>
            <w:tcW w:type="dxa" w:w="5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正式字段修改生成新版本</w:t>
            </w:r>
          </w:p>
        </w:tc>
      </w:tr>
      <w:tr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投资逻辑 → 复核任务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1:N</w:t>
            </w:r>
          </w:p>
        </w:tc>
        <w:tc>
          <w:tcPr>
            <w:tcW w:type="dxa" w:w="5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到期、重大事件或失效触发创建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关键假设 → 数据验证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1:N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每项验证记录方法、数据范围、基准、结果、数据版本和人工结论</w:t>
            </w:r>
          </w:p>
        </w:tc>
      </w:tr>
    </w:tbl>
    <w:p>
      <w:pPr>
        <w:spacing w:before="0" w:after="2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5.2 状态机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2800"/>
        <w:gridCol w:w="2400"/>
        <w:gridCol w:w="2660"/>
      </w:tblGrid>
      <w:tr>
        <w:trPr>
          <w:tblHeader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状态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含义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进入方式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允许动作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草稿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尚未由研究员确认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新建/AI生成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编辑、删除、发布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验证中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正式逻辑，持续收集证据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研究员发布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维护、确认变化、复核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出现分歧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核心假设同时存在重要支持和冲突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系统建议+研究员确认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复核、调整预期、维持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重大风险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接近或触发失效条件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规则建议+研究员确认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高优先级复核、修改、关闭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已关闭</w:t>
            </w:r>
          </w:p>
        </w:tc>
        <w:tc>
          <w:tcPr>
            <w:tcW w:type="dxa" w:w="2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失效、到期、退出覆盖或主动终止</w:t>
            </w:r>
          </w:p>
        </w:tc>
        <w:tc>
          <w:tcPr>
            <w:tcW w:type="dxa" w:w="2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研究员确认</w:t>
            </w:r>
          </w:p>
        </w:tc>
        <w:tc>
          <w:tcPr>
            <w:tcW w:type="dxa" w:w="2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复盘、只读、复制为新逻辑</w:t>
            </w:r>
          </w:p>
        </w:tc>
      </w:tr>
    </w:tbl>
    <w:p>
      <w:pPr>
        <w:spacing w:before="0" w:after="2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</w:r>
    </w:p>
    <w:p>
      <w:pPr>
        <w:spacing w:before="0" w:after="12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  <w:t>“持续支持”作为证据摘要展示，不单独设为MVP状态，避免状态过多。系统可以提出状态建议，但正式状态变更必须由负责人确认并填写原因。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5.3 版本规则</w:t>
      </w:r>
    </w:p>
    <w:p>
      <w:pPr>
        <w:pStyle w:val="ListBullet"/>
        <w:spacing w:after="80"/>
      </w:pPr>
      <w:r>
        <w:rPr>
          <w:rFonts w:ascii="Arial" w:hAnsi="Arial" w:eastAsia="Microsoft YaHei"/>
          <w:b w:val="0"/>
          <w:i w:val="0"/>
          <w:color w:val="243746"/>
          <w:sz w:val="21"/>
        </w:rPr>
        <w:t>草稿阶段可连续保存，不生成正式版本。</w:t>
      </w:r>
    </w:p>
    <w:p>
      <w:pPr>
        <w:pStyle w:val="ListBullet"/>
        <w:spacing w:after="80"/>
      </w:pPr>
      <w:r>
        <w:rPr>
          <w:rFonts w:ascii="Arial" w:hAnsi="Arial" w:eastAsia="Microsoft YaHei"/>
          <w:b w:val="0"/>
          <w:i w:val="0"/>
          <w:color w:val="243746"/>
          <w:sz w:val="21"/>
        </w:rPr>
        <w:t>发布产生V1；核心观点、关键假设、预期、失效条件或状态的正式修改产生新版本。</w:t>
      </w:r>
    </w:p>
    <w:p>
      <w:pPr>
        <w:pStyle w:val="ListBullet"/>
        <w:spacing w:after="80"/>
      </w:pPr>
      <w:r>
        <w:rPr>
          <w:rFonts w:ascii="Arial" w:hAnsi="Arial" w:eastAsia="Microsoft YaHei"/>
          <w:b w:val="0"/>
          <w:i w:val="0"/>
          <w:color w:val="243746"/>
          <w:sz w:val="21"/>
        </w:rPr>
        <w:t>证据确认写入时间线；若导致关键字段变化，则同时产生新版本。</w:t>
      </w:r>
    </w:p>
    <w:p>
      <w:pPr>
        <w:pStyle w:val="ListBullet"/>
        <w:spacing w:after="80"/>
      </w:pPr>
      <w:r>
        <w:rPr>
          <w:rFonts w:ascii="Arial" w:hAnsi="Arial" w:eastAsia="Microsoft YaHei"/>
          <w:b w:val="0"/>
          <w:i w:val="0"/>
          <w:color w:val="243746"/>
          <w:sz w:val="21"/>
        </w:rPr>
        <w:t>历史版本冻结当时可得信息，禁止使用未来信息覆盖历史记录。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5.4 AI与人工确认规则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00"/>
        <w:gridCol w:w="3500"/>
        <w:gridCol w:w="3860"/>
      </w:tblGrid>
      <w:tr>
        <w:trPr>
          <w:tblHeader w:val="true"/>
        </w:trP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内容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AI可做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人工必须做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核心观点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从资料提取和改写建议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确认最终表达和方向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关键假设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拆解和补充建议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确认必要性、重要性和边界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指标与预期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推荐指标和历史值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确认口径、预期和阈值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证据关联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生成候选关系和影响路径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确认/驳回/修改正式关系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状态变化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根据规则和证据生成建议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决定是否正式变更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投资决策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提供事实和研究提示</w:t>
            </w:r>
          </w:p>
        </w:tc>
        <w:tc>
          <w:tcPr>
            <w:tcW w:type="dxa" w:w="3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由投资人员独立作出</w:t>
            </w:r>
          </w:p>
        </w:tc>
      </w:tr>
    </w:tbl>
    <w:p>
      <w:pPr>
        <w:spacing w:before="0" w:after="2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2E74B5"/>
          <w:sz w:val="32"/>
        </w:rPr>
        <w:t>6. 产品信息架构与核心页面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6.1 一级导航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4800"/>
        <w:gridCol w:w="2860"/>
      </w:tblGrid>
      <w:tr>
        <w:trPr>
          <w:tblHeader w:val="true"/>
        </w:trP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导航</w:t>
            </w:r>
          </w:p>
        </w:tc>
        <w:tc>
          <w:tcPr>
            <w:tcW w:type="dxa" w:w="4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主要内容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核心用户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工作台</w:t>
            </w:r>
          </w:p>
        </w:tc>
        <w:tc>
          <w:tcPr>
            <w:tcW w:type="dxa" w:w="4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待确认卡片、待处理变化、复核任务、重大风险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研究员/基金经理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变化雷达</w:t>
            </w:r>
          </w:p>
        </w:tc>
        <w:tc>
          <w:tcPr>
            <w:tcW w:type="dxa" w:w="4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候选证据、影响分析、筛选与处置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研究员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投资逻辑</w:t>
            </w:r>
          </w:p>
        </w:tc>
        <w:tc>
          <w:tcPr>
            <w:tcW w:type="dxa" w:w="4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逻辑列表、搜索、筛选和详情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研究员/基金经理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复盘库</w:t>
            </w:r>
          </w:p>
        </w:tc>
        <w:tc>
          <w:tcPr>
            <w:tcW w:type="dxa" w:w="4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已关闭逻辑、复盘模板和历史案例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研究员/主管</w:t>
            </w:r>
          </w:p>
        </w:tc>
      </w:tr>
      <w:tr>
        <w:tc>
          <w:tcPr>
            <w:tcW w:type="dxa" w:w="1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数据与配置</w:t>
            </w:r>
          </w:p>
        </w:tc>
        <w:tc>
          <w:tcPr>
            <w:tcW w:type="dxa" w:w="4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数据源、指标词典、规则、模型与权限</w:t>
            </w:r>
          </w:p>
        </w:tc>
        <w:tc>
          <w:tcPr>
            <w:tcW w:type="dxa" w:w="2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管理员</w:t>
            </w:r>
          </w:p>
        </w:tc>
      </w:tr>
    </w:tbl>
    <w:p>
      <w:pPr>
        <w:spacing w:before="0" w:after="2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6.2 投资逻辑卡片详情页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4200"/>
        <w:gridCol w:w="326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页面区域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展示内容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主要操作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顶部摘要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证券、标题、方向、周期、负责人、状态、版本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编辑、发起复核、关闭、订阅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逻辑链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核心观点及假设树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增删改假设、设置重要性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指标与预期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指标、口径、当前值、原预期和阈值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编辑预期、查看趋势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证据面板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支持/冲突证据及来源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确认、驳回、修改关联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风险与失效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风险清单、失效条件及触发状态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编辑、确认触发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时间线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版本、事件、状态和人工动作</w:t>
            </w:r>
          </w:p>
        </w:tc>
        <w:tc>
          <w:tcPr>
            <w:tcW w:type="dxa" w:w="3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查看差异、评论、复盘</w:t>
            </w:r>
          </w:p>
        </w:tc>
      </w:tr>
    </w:tbl>
    <w:p>
      <w:pPr>
        <w:spacing w:before="0" w:after="2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6.3 变化卡片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字段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界面要求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发生了什么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一句话事件摘要，区分事实与推断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影响对象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证券、投资逻辑、具体假设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影响判断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支持/冲突/中性，强度高/中/低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传导路径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事件→业务变量→假设，允许展开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证据来源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来源、发布时间、原文片段和可访问链接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建议行动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确认、驳回、修改关联、暂不判断、创建复核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AI信息</w:t>
            </w:r>
          </w:p>
        </w:tc>
        <w:tc>
          <w:tcPr>
            <w:tcW w:type="dxa" w:w="7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模型版本、生成时间、低置信提示</w:t>
            </w:r>
          </w:p>
        </w:tc>
      </w:tr>
    </w:tbl>
    <w:p>
      <w:pPr>
        <w:spacing w:before="0" w:after="2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6.4 工作台视图</w:t>
      </w:r>
    </w:p>
    <w:p>
      <w:pPr>
        <w:spacing w:before="0" w:after="12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  <w:t>MVP首页以任务为中心，不做复杂可视化驾驶舱。优先展示“今天需要我处理什么”：待确认逻辑草稿、待处理变化、即将到期复核和重大风险。基金经理视图可按授权自选或试点组合聚合逻辑状态，但不在MVP进行组合优化。</w:t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2E74B5"/>
          <w:sz w:val="32"/>
        </w:rPr>
        <w:t>7. 核心用户流程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7.1 创建与发布</w:t>
      </w:r>
    </w:p>
    <w:p>
      <w:pPr>
        <w:pStyle w:val="ListNumber"/>
        <w:spacing w:after="80"/>
      </w:pPr>
      <w:r>
        <w:rPr>
          <w:rFonts w:ascii="Arial" w:hAnsi="Arial" w:eastAsia="Microsoft YaHei"/>
          <w:b w:val="0"/>
          <w:i w:val="0"/>
          <w:color w:val="243746"/>
          <w:sz w:val="21"/>
        </w:rPr>
        <w:t>用户选择投资对象，直接输入观点或上传研究资料。</w:t>
      </w:r>
    </w:p>
    <w:p>
      <w:pPr>
        <w:pStyle w:val="ListNumber"/>
        <w:spacing w:after="80"/>
      </w:pPr>
      <w:r>
        <w:rPr>
          <w:rFonts w:ascii="Arial" w:hAnsi="Arial" w:eastAsia="Microsoft YaHei"/>
          <w:b w:val="0"/>
          <w:i w:val="0"/>
          <w:color w:val="243746"/>
          <w:sz w:val="21"/>
        </w:rPr>
        <w:t>系统解析资料并生成核心观点、关键假设、指标建议、风险和引用。</w:t>
      </w:r>
    </w:p>
    <w:p>
      <w:pPr>
        <w:pStyle w:val="ListNumber"/>
        <w:spacing w:after="80"/>
      </w:pPr>
      <w:r>
        <w:rPr>
          <w:rFonts w:ascii="Arial" w:hAnsi="Arial" w:eastAsia="Microsoft YaHei"/>
          <w:b w:val="0"/>
          <w:i w:val="0"/>
          <w:color w:val="243746"/>
          <w:sz w:val="21"/>
        </w:rPr>
        <w:t>用户逐区块检查，补充时间范围、原始预期、失效条件和负责人。</w:t>
      </w:r>
    </w:p>
    <w:p>
      <w:pPr>
        <w:pStyle w:val="ListNumber"/>
        <w:spacing w:after="80"/>
      </w:pPr>
      <w:r>
        <w:rPr>
          <w:rFonts w:ascii="Arial" w:hAnsi="Arial" w:eastAsia="Microsoft YaHei"/>
          <w:b w:val="0"/>
          <w:i w:val="0"/>
          <w:color w:val="243746"/>
          <w:sz w:val="21"/>
        </w:rPr>
        <w:t>系统执行必填、引用、口径和权限校验。</w:t>
      </w:r>
    </w:p>
    <w:p>
      <w:pPr>
        <w:pStyle w:val="ListNumber"/>
        <w:spacing w:after="80"/>
      </w:pPr>
      <w:r>
        <w:rPr>
          <w:rFonts w:ascii="Arial" w:hAnsi="Arial" w:eastAsia="Microsoft YaHei"/>
          <w:b w:val="0"/>
          <w:i w:val="0"/>
          <w:color w:val="243746"/>
          <w:sz w:val="21"/>
        </w:rPr>
        <w:t>用户发布，系统生成V1并启动监控。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7.2 新信息到证据</w:t>
      </w:r>
    </w:p>
    <w:p>
      <w:pPr>
        <w:pStyle w:val="ListNumber"/>
        <w:spacing w:after="80"/>
      </w:pPr>
      <w:r>
        <w:rPr>
          <w:rFonts w:ascii="Arial" w:hAnsi="Arial" w:eastAsia="Microsoft YaHei"/>
          <w:b w:val="0"/>
          <w:i w:val="0"/>
          <w:color w:val="243746"/>
          <w:sz w:val="21"/>
        </w:rPr>
        <w:t>用户上传新公告/新闻/财报，或系统收到新增资料。</w:t>
      </w:r>
    </w:p>
    <w:p>
      <w:pPr>
        <w:pStyle w:val="ListNumber"/>
        <w:spacing w:after="80"/>
      </w:pPr>
      <w:r>
        <w:rPr>
          <w:rFonts w:ascii="Arial" w:hAnsi="Arial" w:eastAsia="Microsoft YaHei"/>
          <w:b w:val="0"/>
          <w:i w:val="0"/>
          <w:color w:val="243746"/>
          <w:sz w:val="21"/>
        </w:rPr>
        <w:t>系统识别主体、事件、数值、时间和来源，进行去重。</w:t>
      </w:r>
    </w:p>
    <w:p>
      <w:pPr>
        <w:pStyle w:val="ListNumber"/>
        <w:spacing w:after="80"/>
      </w:pPr>
      <w:r>
        <w:rPr>
          <w:rFonts w:ascii="Arial" w:hAnsi="Arial" w:eastAsia="Microsoft YaHei"/>
          <w:b w:val="0"/>
          <w:i w:val="0"/>
          <w:color w:val="243746"/>
          <w:sz w:val="21"/>
        </w:rPr>
        <w:t>系统召回候选投资逻辑和假设，生成影响方向、强度和传导路径。</w:t>
      </w:r>
    </w:p>
    <w:p>
      <w:pPr>
        <w:pStyle w:val="ListNumber"/>
        <w:spacing w:after="80"/>
      </w:pPr>
      <w:r>
        <w:rPr>
          <w:rFonts w:ascii="Arial" w:hAnsi="Arial" w:eastAsia="Microsoft YaHei"/>
          <w:b w:val="0"/>
          <w:i w:val="0"/>
          <w:color w:val="243746"/>
          <w:sz w:val="21"/>
        </w:rPr>
        <w:t>研究员确认、驳回、修改关联或暂不判断。</w:t>
      </w:r>
    </w:p>
    <w:p>
      <w:pPr>
        <w:pStyle w:val="ListNumber"/>
        <w:spacing w:after="80"/>
      </w:pPr>
      <w:r>
        <w:rPr>
          <w:rFonts w:ascii="Arial" w:hAnsi="Arial" w:eastAsia="Microsoft YaHei"/>
          <w:b w:val="0"/>
          <w:i w:val="0"/>
          <w:color w:val="243746"/>
          <w:sz w:val="21"/>
        </w:rPr>
        <w:t>确认后的内容进入证据链；必要时生成状态建议和复核任务。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7.3 复核与关闭</w:t>
      </w:r>
    </w:p>
    <w:p>
      <w:pPr>
        <w:pStyle w:val="ListNumber"/>
        <w:spacing w:after="80"/>
      </w:pPr>
      <w:r>
        <w:rPr>
          <w:rFonts w:ascii="Arial" w:hAnsi="Arial" w:eastAsia="Microsoft YaHei"/>
          <w:b w:val="0"/>
          <w:i w:val="0"/>
          <w:color w:val="243746"/>
          <w:sz w:val="21"/>
        </w:rPr>
        <w:t>定期复核日、重大事件或失效条件触发复核。</w:t>
      </w:r>
    </w:p>
    <w:p>
      <w:pPr>
        <w:pStyle w:val="ListNumber"/>
        <w:spacing w:after="80"/>
      </w:pPr>
      <w:r>
        <w:rPr>
          <w:rFonts w:ascii="Arial" w:hAnsi="Arial" w:eastAsia="Microsoft YaHei"/>
          <w:b w:val="0"/>
          <w:i w:val="0"/>
          <w:color w:val="243746"/>
          <w:sz w:val="21"/>
        </w:rPr>
        <w:t>系统汇总自上次版本后的证据、指标变化和未处理分歧。</w:t>
      </w:r>
    </w:p>
    <w:p>
      <w:pPr>
        <w:pStyle w:val="ListNumber"/>
        <w:spacing w:after="80"/>
      </w:pPr>
      <w:r>
        <w:rPr>
          <w:rFonts w:ascii="Arial" w:hAnsi="Arial" w:eastAsia="Microsoft YaHei"/>
          <w:b w:val="0"/>
          <w:i w:val="0"/>
          <w:color w:val="243746"/>
          <w:sz w:val="21"/>
        </w:rPr>
        <w:t>研究员选择维持逻辑、调整假设/预期、标记重大风险或关闭。</w:t>
      </w:r>
    </w:p>
    <w:p>
      <w:pPr>
        <w:pStyle w:val="ListNumber"/>
        <w:spacing w:after="80"/>
      </w:pPr>
      <w:r>
        <w:rPr>
          <w:rFonts w:ascii="Arial" w:hAnsi="Arial" w:eastAsia="Microsoft YaHei"/>
          <w:b w:val="0"/>
          <w:i w:val="0"/>
          <w:color w:val="243746"/>
          <w:sz w:val="21"/>
        </w:rPr>
        <w:t>系统保存新版本、原因、证据和责任人。</w:t>
      </w:r>
    </w:p>
    <w:p>
      <w:pPr>
        <w:pStyle w:val="ListNumber"/>
        <w:spacing w:after="80"/>
      </w:pPr>
      <w:r>
        <w:rPr>
          <w:rFonts w:ascii="Arial" w:hAnsi="Arial" w:eastAsia="Microsoft YaHei"/>
          <w:b w:val="0"/>
          <w:i w:val="0"/>
          <w:color w:val="243746"/>
          <w:sz w:val="21"/>
        </w:rPr>
        <w:t>关闭后创建结构化复盘草稿，研究员确认后进入复盘库。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7.4 异常流程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异常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系统处理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文档无法解析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保留文件，展示失败原因，允许重新上传或转为文本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证券实体歧义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要求用户选择，不自动绑定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来源无权限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不进入检索和生成，不展示摘要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指标口径冲突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并列展示口径和来源，禁止直接比较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AI低置信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进入待复核，不触发重大风险提醒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模型不可用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任务排队和重试，原始输入不丢失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事件重复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合并为同一事件并保留多个来源</w:t>
            </w:r>
          </w:p>
        </w:tc>
      </w:tr>
    </w:tbl>
    <w:p>
      <w:pPr>
        <w:spacing w:before="0" w:after="2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2E74B5"/>
          <w:sz w:val="32"/>
        </w:rPr>
        <w:t>8. 宏观产品与系统架构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8.1 架构定位</w:t>
      </w:r>
    </w:p>
    <w:p>
      <w:pPr>
        <w:spacing w:before="0" w:after="12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  <w:t>宏观架构作为产品长期能力蓝图保留。由于当前没有既有系统约束，MVP采用可独立运行的最小闭环，同时对身份、数据、消息、组合和因子系统预留接口。架构设计必须围绕前述卡片对象、业务规则和用户流程展开。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8.2 分层架构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4300"/>
        <w:gridCol w:w="316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层级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MVP职责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主要对象/输出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用户交互层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工作台、逻辑卡片、变化卡片、复核和时间线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用户操作、页面视图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投资逻辑应用层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组织创建、确认、跟踪、复核和关闭流程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业务任务、待办、通知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Investment Thesis Engine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管理逻辑、假设、指标、预期、证据、数据验证、状态和版本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结构化对象、关系和规则结果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AI能力与规则层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文档理解、检索、抽取、事件关联、预期差、趋势和简单同业验证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结构化AI输出、确定性计算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数据资源层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保存上传文档、证券主数据、指标、事件和审计日志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原始数据、标准数据、血缘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外部集成层</w:t>
            </w:r>
          </w:p>
        </w:tc>
        <w:tc>
          <w:tcPr>
            <w:tcW w:type="dxa" w:w="4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未来连接身份、投研、行情、新闻、消息、组合和因子平台</w:t>
            </w:r>
          </w:p>
        </w:tc>
        <w:tc>
          <w:tcPr>
            <w:tcW w:type="dxa" w:w="3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API/文件/消息接口</w:t>
            </w:r>
          </w:p>
        </w:tc>
      </w:tr>
    </w:tbl>
    <w:p>
      <w:pPr>
        <w:spacing w:before="0" w:after="2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8.3 MVP逻辑组件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4200"/>
        <w:gridCol w:w="2960"/>
      </w:tblGrid>
      <w:tr>
        <w:trPr>
          <w:tblHeader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组件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职责</w:t>
            </w:r>
          </w:p>
        </w:tc>
        <w:tc>
          <w:tcPr>
            <w:tcW w:type="dxa" w:w="2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是否可合并实现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Web应用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页面、表单、列表、确认和时间线</w:t>
            </w:r>
          </w:p>
        </w:tc>
        <w:tc>
          <w:tcPr>
            <w:tcW w:type="dxa" w:w="2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独立前端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业务API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用户会话、逻辑卡片和变化处置接口</w:t>
            </w:r>
          </w:p>
        </w:tc>
        <w:tc>
          <w:tcPr>
            <w:tcW w:type="dxa" w:w="2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MVP可与业务服务合并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Thesis业务服务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核心对象、关系、状态机和版本</w:t>
            </w:r>
          </w:p>
        </w:tc>
        <w:tc>
          <w:tcPr>
            <w:tcW w:type="dxa" w:w="2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MVP核心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文档处理任务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上传、解析、切分、实体识别、引用定位</w:t>
            </w:r>
          </w:p>
        </w:tc>
        <w:tc>
          <w:tcPr>
            <w:tcW w:type="dxa" w:w="2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异步任务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AI编排模块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检索、提示、模型调用、JSON校验和降级</w:t>
            </w:r>
          </w:p>
        </w:tc>
        <w:tc>
          <w:tcPr>
            <w:tcW w:type="dxa" w:w="2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MVP可作为单体模块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变化处理任务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事件提取、逻辑召回、影响分析和去重</w:t>
            </w:r>
          </w:p>
        </w:tc>
        <w:tc>
          <w:tcPr>
            <w:tcW w:type="dxa" w:w="2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异步任务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规则与计算模块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同比环比、预期差、趋势、同业分位、阈值、复核日及结果跟踪</w:t>
            </w:r>
          </w:p>
        </w:tc>
        <w:tc>
          <w:tcPr>
            <w:tcW w:type="dxa" w:w="2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MVP可嵌入业务服务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数据存储</w:t>
            </w:r>
          </w:p>
        </w:tc>
        <w:tc>
          <w:tcPr>
            <w:tcW w:type="dxa" w:w="4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关系数据、文件、检索索引和日志</w:t>
            </w:r>
          </w:p>
        </w:tc>
        <w:tc>
          <w:tcPr>
            <w:tcW w:type="dxa" w:w="2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按技术选型拆分</w:t>
            </w:r>
          </w:p>
        </w:tc>
      </w:tr>
    </w:tbl>
    <w:p>
      <w:pPr>
        <w:spacing w:before="0" w:after="2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8.4 MVP数据流</w:t>
      </w:r>
    </w:p>
    <w:p>
      <w:pPr>
        <w:spacing w:before="0" w:after="12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  <w:t>资料上传后，文档处理任务生成可检索文本和引用位置；AI编排模块依据任务契约输出结构化草稿；用户确认后，Thesis业务服务保存正式版本。新资料进入时，变化处理任务先识别事件和候选逻辑，再调用AI进行影响分析；用户确认后写入证据链并由规则模块生成状态建议。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8.5 长期扩展关系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4800"/>
        <w:gridCol w:w="2460"/>
      </w:tblGrid>
      <w:tr>
        <w:trPr>
          <w:tblHeader w:val="true"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外部能力</w:t>
            </w:r>
          </w:p>
        </w:tc>
        <w:tc>
          <w:tcPr>
            <w:tcW w:type="dxa" w:w="4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与投资逻辑的关系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阶段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机构投研平台</w:t>
            </w:r>
          </w:p>
        </w:tc>
        <w:tc>
          <w:tcPr>
            <w:tcW w:type="dxa" w:w="4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承载入口、用户覆盖和研究成果回写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视机构实际情况接入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财务与经营数据</w:t>
            </w:r>
          </w:p>
        </w:tc>
        <w:tc>
          <w:tcPr>
            <w:tcW w:type="dxa" w:w="4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为指标和预期差提供确定性数据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P1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新闻/公告流</w:t>
            </w:r>
          </w:p>
        </w:tc>
        <w:tc>
          <w:tcPr>
            <w:tcW w:type="dxa" w:w="4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自动产生候选事件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P1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组合持仓</w:t>
            </w:r>
          </w:p>
        </w:tc>
        <w:tc>
          <w:tcPr>
            <w:tcW w:type="dxa" w:w="4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按持仓聚合逻辑和风险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P1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因子与回测平台</w:t>
            </w:r>
          </w:p>
        </w:tc>
        <w:tc>
          <w:tcPr>
            <w:tcW w:type="dxa" w:w="4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对可横截面表达的逻辑进行专业统计验证；不由MVP自行建设因子挖掘能力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P2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估值/财务模型</w:t>
            </w:r>
          </w:p>
        </w:tc>
        <w:tc>
          <w:tcPr>
            <w:tcW w:type="dxa" w:w="4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评估逻辑变化对盈利预测和估值的影响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P2</w:t>
            </w:r>
          </w:p>
        </w:tc>
      </w:tr>
    </w:tbl>
    <w:p>
      <w:pPr>
        <w:spacing w:before="0" w:after="2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2E74B5"/>
          <w:sz w:val="32"/>
        </w:rPr>
        <w:t>9. 功能需求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9.1 逻辑卡片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4520"/>
        <w:gridCol w:w="800"/>
        <w:gridCol w:w="2590"/>
      </w:tblGrid>
      <w:tr>
        <w:trPr>
          <w:tblHeader w:val="true"/>
        </w:trP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6"/>
              </w:rPr>
              <w:t>编号</w:t>
            </w:r>
          </w:p>
        </w:tc>
        <w:tc>
          <w:tcPr>
            <w:tcW w:type="dxa" w:w="4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6"/>
              </w:rPr>
              <w:t>需求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6"/>
              </w:rPr>
              <w:t>优先级</w:t>
            </w:r>
          </w:p>
        </w:tc>
        <w:tc>
          <w:tcPr>
            <w:tcW w:type="dxa" w:w="25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6"/>
              </w:rPr>
              <w:t>验收要点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FR-T-001</w:t>
            </w:r>
          </w:p>
        </w:tc>
        <w:tc>
          <w:tcPr>
            <w:tcW w:type="dxa" w:w="4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通过手工观点或文件创建逻辑草稿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P0</w:t>
            </w:r>
          </w:p>
        </w:tc>
        <w:tc>
          <w:tcPr>
            <w:tcW w:type="dxa" w:w="25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支持PDF/DOCX/TXT，失败可恢复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FR-T-002</w:t>
            </w:r>
          </w:p>
        </w:tc>
        <w:tc>
          <w:tcPr>
            <w:tcW w:type="dxa" w:w="4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AI生成核心观点、2至5条假设、指标、风险和引用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P0</w:t>
            </w:r>
          </w:p>
        </w:tc>
        <w:tc>
          <w:tcPr>
            <w:tcW w:type="dxa" w:w="25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所有字段可编辑，不直接发布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FR-T-003</w:t>
            </w:r>
          </w:p>
        </w:tc>
        <w:tc>
          <w:tcPr>
            <w:tcW w:type="dxa" w:w="4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支持填写方向、期限、负责人、预期和复核日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P0</w:t>
            </w:r>
          </w:p>
        </w:tc>
        <w:tc>
          <w:tcPr>
            <w:tcW w:type="dxa" w:w="25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发布前完成必填校验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FR-T-004</w:t>
            </w:r>
          </w:p>
        </w:tc>
        <w:tc>
          <w:tcPr>
            <w:tcW w:type="dxa" w:w="4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支持假设与指标、证据之间建立关系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P0</w:t>
            </w:r>
          </w:p>
        </w:tc>
        <w:tc>
          <w:tcPr>
            <w:tcW w:type="dxa" w:w="25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关系可查看和修改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FR-T-005</w:t>
            </w:r>
          </w:p>
        </w:tc>
        <w:tc>
          <w:tcPr>
            <w:tcW w:type="dxa" w:w="4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支持草稿、发布、复制、关闭和只读归档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P0</w:t>
            </w:r>
          </w:p>
        </w:tc>
        <w:tc>
          <w:tcPr>
            <w:tcW w:type="dxa" w:w="25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符合状态和权限规则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FR-T-006</w:t>
            </w:r>
          </w:p>
        </w:tc>
        <w:tc>
          <w:tcPr>
            <w:tcW w:type="dxa" w:w="4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正式变更生成新版本并展示差异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P0</w:t>
            </w:r>
          </w:p>
        </w:tc>
        <w:tc>
          <w:tcPr>
            <w:tcW w:type="dxa" w:w="25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可回看任意版本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FR-T-007</w:t>
            </w:r>
          </w:p>
        </w:tc>
        <w:tc>
          <w:tcPr>
            <w:tcW w:type="dxa" w:w="4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按对象、标题、状态、负责人和时间范围检索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P0</w:t>
            </w:r>
          </w:p>
        </w:tc>
        <w:tc>
          <w:tcPr>
            <w:tcW w:type="dxa" w:w="25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结果符合权限</w:t>
            </w:r>
          </w:p>
        </w:tc>
      </w:tr>
    </w:tbl>
    <w:p>
      <w:pPr>
        <w:spacing w:before="0" w:after="2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9.2 变化雷达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4520"/>
        <w:gridCol w:w="800"/>
        <w:gridCol w:w="2590"/>
      </w:tblGrid>
      <w:tr>
        <w:trPr>
          <w:tblHeader w:val="true"/>
        </w:trP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6"/>
              </w:rPr>
              <w:t>编号</w:t>
            </w:r>
          </w:p>
        </w:tc>
        <w:tc>
          <w:tcPr>
            <w:tcW w:type="dxa" w:w="4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6"/>
              </w:rPr>
              <w:t>需求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6"/>
              </w:rPr>
              <w:t>优先级</w:t>
            </w:r>
          </w:p>
        </w:tc>
        <w:tc>
          <w:tcPr>
            <w:tcW w:type="dxa" w:w="25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6"/>
              </w:rPr>
              <w:t>验收要点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FR-R-001</w:t>
            </w:r>
          </w:p>
        </w:tc>
        <w:tc>
          <w:tcPr>
            <w:tcW w:type="dxa" w:w="4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新资料识别主体、事件、数值、时间和来源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P0</w:t>
            </w:r>
          </w:p>
        </w:tc>
        <w:tc>
          <w:tcPr>
            <w:tcW w:type="dxa" w:w="25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结果可纠错并保留原文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FR-R-002</w:t>
            </w:r>
          </w:p>
        </w:tc>
        <w:tc>
          <w:tcPr>
            <w:tcW w:type="dxa" w:w="4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召回相关逻辑和具体假设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P0</w:t>
            </w:r>
          </w:p>
        </w:tc>
        <w:tc>
          <w:tcPr>
            <w:tcW w:type="dxa" w:w="25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展示匹配依据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FR-R-003</w:t>
            </w:r>
          </w:p>
        </w:tc>
        <w:tc>
          <w:tcPr>
            <w:tcW w:type="dxa" w:w="4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生成支持/冲突/中性、强度和传导路径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P0</w:t>
            </w:r>
          </w:p>
        </w:tc>
        <w:tc>
          <w:tcPr>
            <w:tcW w:type="dxa" w:w="25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区分事实、推断和建议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FR-R-004</w:t>
            </w:r>
          </w:p>
        </w:tc>
        <w:tc>
          <w:tcPr>
            <w:tcW w:type="dxa" w:w="4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支持确认、驳回、修改关联和暂不判断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P0</w:t>
            </w:r>
          </w:p>
        </w:tc>
        <w:tc>
          <w:tcPr>
            <w:tcW w:type="dxa" w:w="25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操作进入反馈与审计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FR-R-005</w:t>
            </w:r>
          </w:p>
        </w:tc>
        <w:tc>
          <w:tcPr>
            <w:tcW w:type="dxa" w:w="4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重复事件合并并保留来源集合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P0</w:t>
            </w:r>
          </w:p>
        </w:tc>
        <w:tc>
          <w:tcPr>
            <w:tcW w:type="dxa" w:w="25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不重复提醒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FR-R-006</w:t>
            </w:r>
          </w:p>
        </w:tc>
        <w:tc>
          <w:tcPr>
            <w:tcW w:type="dxa" w:w="4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按证券、逻辑、方向、状态、来源和时间筛选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P0</w:t>
            </w:r>
          </w:p>
        </w:tc>
        <w:tc>
          <w:tcPr>
            <w:tcW w:type="dxa" w:w="25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筛选数量一致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FR-R-007</w:t>
            </w:r>
          </w:p>
        </w:tc>
        <w:tc>
          <w:tcPr>
            <w:tcW w:type="dxa" w:w="4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低置信结果进入人工队列，不升级提醒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P0</w:t>
            </w:r>
          </w:p>
        </w:tc>
        <w:tc>
          <w:tcPr>
            <w:tcW w:type="dxa" w:w="25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降级规则可测试</w:t>
            </w:r>
          </w:p>
        </w:tc>
      </w:tr>
    </w:tbl>
    <w:p>
      <w:pPr>
        <w:spacing w:before="0" w:after="2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9.3 数据验证、状态复核与复盘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4520"/>
        <w:gridCol w:w="800"/>
        <w:gridCol w:w="2590"/>
      </w:tblGrid>
      <w:tr>
        <w:trPr>
          <w:tblHeader w:val="true"/>
        </w:trP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6"/>
              </w:rPr>
              <w:t>编号</w:t>
            </w:r>
          </w:p>
        </w:tc>
        <w:tc>
          <w:tcPr>
            <w:tcW w:type="dxa" w:w="4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6"/>
              </w:rPr>
              <w:t>需求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6"/>
              </w:rPr>
              <w:t>优先级</w:t>
            </w:r>
          </w:p>
        </w:tc>
        <w:tc>
          <w:tcPr>
            <w:tcW w:type="dxa" w:w="25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6"/>
              </w:rPr>
              <w:t>验收要点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FR-V-001</w:t>
            </w:r>
          </w:p>
        </w:tc>
        <w:tc>
          <w:tcPr>
            <w:tcW w:type="dxa" w:w="4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按指标计算实际值与研究员原始预期差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P0</w:t>
            </w:r>
          </w:p>
        </w:tc>
        <w:tc>
          <w:tcPr>
            <w:tcW w:type="dxa" w:w="25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展示口径、报告期、来源和差异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FR-V-002</w:t>
            </w:r>
          </w:p>
        </w:tc>
        <w:tc>
          <w:tcPr>
            <w:tcW w:type="dxa" w:w="4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展示同比、环比及最近4至8期趋势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P0</w:t>
            </w:r>
          </w:p>
        </w:tc>
        <w:tc>
          <w:tcPr>
            <w:tcW w:type="dxa" w:w="25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计算由确定性程序完成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FR-V-003</w:t>
            </w:r>
          </w:p>
        </w:tc>
        <w:tc>
          <w:tcPr>
            <w:tcW w:type="dxa" w:w="4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支持在口径一致前提下进行简单同业中位数和分位比较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P0</w:t>
            </w:r>
          </w:p>
        </w:tc>
        <w:tc>
          <w:tcPr>
            <w:tcW w:type="dxa" w:w="25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展示同业范围和缺失情况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FR-V-004</w:t>
            </w:r>
          </w:p>
        </w:tc>
        <w:tc>
          <w:tcPr>
            <w:tcW w:type="dxa" w:w="4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记录逻辑建立后的经营指标、盈利预测和简单收益结果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P0/P1</w:t>
            </w:r>
          </w:p>
        </w:tc>
        <w:tc>
          <w:tcPr>
            <w:tcW w:type="dxa" w:w="25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仅记录和比较，不表述为因果证明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FR-V-005</w:t>
            </w:r>
          </w:p>
        </w:tc>
        <w:tc>
          <w:tcPr>
            <w:tcW w:type="dxa" w:w="4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保存验证方法、样本范围、基准、数据版本和人工结论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P0</w:t>
            </w:r>
          </w:p>
        </w:tc>
        <w:tc>
          <w:tcPr>
            <w:tcW w:type="dxa" w:w="25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任一结果可重复计算和追溯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FR-S-001</w:t>
            </w:r>
          </w:p>
        </w:tc>
        <w:tc>
          <w:tcPr>
            <w:tcW w:type="dxa" w:w="4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展示逻辑和假设状态及原因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P0</w:t>
            </w:r>
          </w:p>
        </w:tc>
        <w:tc>
          <w:tcPr>
            <w:tcW w:type="dxa" w:w="25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原因追溯到证据/操作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FR-S-002</w:t>
            </w:r>
          </w:p>
        </w:tc>
        <w:tc>
          <w:tcPr>
            <w:tcW w:type="dxa" w:w="4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按证据、阈值和复核日生成状态建议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P0</w:t>
            </w:r>
          </w:p>
        </w:tc>
        <w:tc>
          <w:tcPr>
            <w:tcW w:type="dxa" w:w="25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不自动发布正式状态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FR-S-003</w:t>
            </w:r>
          </w:p>
        </w:tc>
        <w:tc>
          <w:tcPr>
            <w:tcW w:type="dxa" w:w="4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负责人接受、拒绝或修改建议并填写原因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P0</w:t>
            </w:r>
          </w:p>
        </w:tc>
        <w:tc>
          <w:tcPr>
            <w:tcW w:type="dxa" w:w="25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生成版本和审计记录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FR-S-004</w:t>
            </w:r>
          </w:p>
        </w:tc>
        <w:tc>
          <w:tcPr>
            <w:tcW w:type="dxa" w:w="4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关闭逻辑时选择关闭原因并生成复盘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P0</w:t>
            </w:r>
          </w:p>
        </w:tc>
        <w:tc>
          <w:tcPr>
            <w:tcW w:type="dxa" w:w="25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时间线完整</w:t>
            </w:r>
          </w:p>
        </w:tc>
      </w:tr>
      <w:t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FR-S-005</w:t>
            </w:r>
          </w:p>
        </w:tc>
        <w:tc>
          <w:tcPr>
            <w:tcW w:type="dxa" w:w="4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AI根据已确认记录生成复盘草稿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P1</w:t>
            </w:r>
          </w:p>
        </w:tc>
        <w:tc>
          <w:tcPr>
            <w:tcW w:type="dxa" w:w="25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6"/>
              </w:rPr>
              <w:t>不得补造事实</w:t>
            </w:r>
          </w:p>
        </w:tc>
      </w:tr>
    </w:tbl>
    <w:p>
      <w:pPr>
        <w:spacing w:before="0" w:after="2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9.4 管理与审计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50"/>
        <w:gridCol w:w="4520"/>
        <w:gridCol w:w="800"/>
        <w:gridCol w:w="2590"/>
      </w:tblGrid>
      <w:tr>
        <w:trPr>
          <w:tblHeader w:val="true"/>
        </w:trP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6"/>
              </w:rPr>
              <w:t>编号</w:t>
            </w:r>
          </w:p>
        </w:tc>
        <w:tc>
          <w:tcPr>
            <w:tcW w:type="dxa" w:w="4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6"/>
              </w:rPr>
              <w:t>需求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6"/>
              </w:rPr>
              <w:t>优先级</w:t>
            </w:r>
          </w:p>
        </w:tc>
        <w:tc>
          <w:tcPr>
            <w:tcW w:type="dxa" w:w="25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6"/>
              </w:rPr>
              <w:t>验收要点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FR-A-001</w:t>
            </w:r>
          </w:p>
        </w:tc>
        <w:tc>
          <w:tcPr>
            <w:tcW w:type="dxa" w:w="4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管理用户、角色、对象权限和可见范围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P0</w:t>
            </w:r>
          </w:p>
        </w:tc>
        <w:tc>
          <w:tcPr>
            <w:tcW w:type="dxa" w:w="25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无越权检索和摘要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FR-A-002</w:t>
            </w:r>
          </w:p>
        </w:tc>
        <w:tc>
          <w:tcPr>
            <w:tcW w:type="dxa" w:w="4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管理模型、提示模板、指标词典和规则版本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P0</w:t>
            </w:r>
          </w:p>
        </w:tc>
        <w:tc>
          <w:tcPr>
            <w:tcW w:type="dxa" w:w="25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可灰度和回滚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FR-A-003</w:t>
            </w:r>
          </w:p>
        </w:tc>
        <w:tc>
          <w:tcPr>
            <w:tcW w:type="dxa" w:w="4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记录查看、创建、编辑、确认、导出和模型调用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P0</w:t>
            </w:r>
          </w:p>
        </w:tc>
        <w:tc>
          <w:tcPr>
            <w:tcW w:type="dxa" w:w="25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可按对象追踪</w:t>
            </w:r>
          </w:p>
        </w:tc>
      </w:tr>
      <w:tr>
        <w:tc>
          <w:tcPr>
            <w:tcW w:type="dxa" w:w="1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FR-A-004</w:t>
            </w:r>
          </w:p>
        </w:tc>
        <w:tc>
          <w:tcPr>
            <w:tcW w:type="dxa" w:w="4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查看解析失败、模型失败和任务积压</w:t>
            </w:r>
          </w:p>
        </w:tc>
        <w:tc>
          <w:tcPr>
            <w:tcW w:type="dxa" w:w="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P0</w:t>
            </w:r>
          </w:p>
        </w:tc>
        <w:tc>
          <w:tcPr>
            <w:tcW w:type="dxa" w:w="259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6"/>
              </w:rPr>
              <w:t>支持重试和转人工</w:t>
            </w:r>
          </w:p>
        </w:tc>
      </w:tr>
    </w:tbl>
    <w:p>
      <w:pPr>
        <w:spacing w:before="0" w:after="2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2E74B5"/>
          <w:sz w:val="32"/>
        </w:rPr>
        <w:t>10. AI任务与输入输出契约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10.1 逻辑卡片生成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项目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输入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用户观点、研究资料正文、投资对象、可用行业/指标词典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输出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标题、核心观点、关键假设、指标建议、风险、失效条件建议、引用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格式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结构化JSON；所有数组和枚举需通过Schema校验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限制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不得擅自填写研究员预期和正式阈值；不得使用输入和授权检索之外的事实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失败处理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JSON修复一次；仍失败则保留资料并转人工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人工确认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全部关键字段发布前必须确认</w:t>
            </w:r>
          </w:p>
        </w:tc>
      </w:tr>
    </w:tbl>
    <w:p>
      <w:pPr>
        <w:spacing w:before="0" w:after="2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10.2 事件影响分析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项目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输入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事件正文与元数据、候选逻辑、候选假设、已有预期和证据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输出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相关性、目标假设、方向、强度、事实摘要、传导路径、建议跟踪项、引用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格式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结构化JSON，引用必须定位到输入文本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限制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方向相对于假设判断，不进行通用正负面替代；不输出买卖建议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低置信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标记原因并进入待复核，不触发重大风险提醒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人工确认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进入正式证据链前必须确认</w:t>
            </w:r>
          </w:p>
        </w:tc>
      </w:tr>
    </w:tbl>
    <w:p>
      <w:pPr>
        <w:spacing w:before="0" w:after="2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</w:r>
    </w:p>
    <w:p>
      <w:pPr>
        <w:pStyle w:val="Heading2"/>
      </w:pPr>
      <w:r>
        <w:rPr>
          <w:rFonts w:ascii="Arial" w:hAnsi="Arial" w:eastAsia="Microsoft YaHei"/>
          <w:b/>
          <w:color w:val="2E74B5"/>
          <w:sz w:val="26"/>
        </w:rPr>
        <w:t>10.3 指标与数据验证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</w:tblPr>
      <w:tblGrid>
        <w:gridCol w:w="2100"/>
        <w:gridCol w:w="7260"/>
      </w:tblGrid>
      <w:tr>
        <w:tc>
          <w:tcPr>
            <w:tcW w:type="dxa" w:w="21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72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color w:val="183B56"/>
                <w:sz w:val="17"/>
              </w:rPr>
              <w:t>定义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输入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关键假设、指标口径、研究员原始预期、实际数据、同业范围、比较基准和时间窗口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程序输出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预期差、同比环比、趋势、简单同业中位数/分位和逻辑建立后的结果记录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AI输出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对确定性计算结果与关键假设关系的解释，不自行计算关键数值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MVP限制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不自动生成因子、不优化参数、不进行复杂组合回测，不声称证明超额收益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数据要求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保留来源、口径、报告期、修订版本和当时可得时间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人工确认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研究员确认数据含义、验证结论和是否需要调整投资逻辑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10.4 复盘草稿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项目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输入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冻结的逻辑版本、已确认证据、指标记录、人工动作和最终结果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输出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正确判断、错误假设、遗漏风险、领先信号、改进建议和引用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限制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不得使用当时不可得信息评价当时判断；不得生成个人绩效结论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人工确认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发布到复盘库前必须确认</w:t>
            </w:r>
          </w:p>
        </w:tc>
      </w:tr>
    </w:tbl>
    <w:p>
      <w:pPr>
        <w:spacing w:before="0" w:after="2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10.5 AI质量规则</w:t>
      </w:r>
    </w:p>
    <w:p>
      <w:pPr>
        <w:pStyle w:val="ListBullet"/>
        <w:spacing w:after="80"/>
      </w:pPr>
      <w:r>
        <w:rPr>
          <w:rFonts w:ascii="Arial" w:hAnsi="Arial" w:eastAsia="Microsoft YaHei"/>
          <w:b w:val="0"/>
          <w:i w:val="0"/>
          <w:color w:val="243746"/>
          <w:sz w:val="21"/>
        </w:rPr>
        <w:t>事实结论必须有引用；无法引用时标记为推断或不确定。</w:t>
      </w:r>
    </w:p>
    <w:p>
      <w:pPr>
        <w:pStyle w:val="ListBullet"/>
        <w:spacing w:after="80"/>
      </w:pPr>
      <w:r>
        <w:rPr>
          <w:rFonts w:ascii="Arial" w:hAnsi="Arial" w:eastAsia="Microsoft YaHei"/>
          <w:b w:val="0"/>
          <w:i w:val="0"/>
          <w:color w:val="243746"/>
          <w:sz w:val="21"/>
        </w:rPr>
        <w:t>数值计算由程序完成，模型只解释结果及其与假设的关系。</w:t>
      </w:r>
    </w:p>
    <w:p>
      <w:pPr>
        <w:pStyle w:val="ListBullet"/>
        <w:spacing w:after="80"/>
      </w:pPr>
      <w:r>
        <w:rPr>
          <w:rFonts w:ascii="Arial" w:hAnsi="Arial" w:eastAsia="Microsoft YaHei"/>
          <w:b w:val="0"/>
          <w:i w:val="0"/>
          <w:color w:val="243746"/>
          <w:sz w:val="21"/>
        </w:rPr>
        <w:t>模型、提示、检索文档和生成时间均版本化。</w:t>
      </w:r>
    </w:p>
    <w:p>
      <w:pPr>
        <w:pStyle w:val="ListBullet"/>
        <w:spacing w:after="80"/>
      </w:pPr>
      <w:r>
        <w:rPr>
          <w:rFonts w:ascii="Arial" w:hAnsi="Arial" w:eastAsia="Microsoft YaHei"/>
          <w:b w:val="0"/>
          <w:i w:val="0"/>
          <w:color w:val="243746"/>
          <w:sz w:val="21"/>
        </w:rPr>
        <w:t>评测集覆盖不同文档类型、正反证据、口径冲突、歧义实体和历史时点。</w:t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2E74B5"/>
          <w:sz w:val="32"/>
        </w:rPr>
        <w:t>11. 数据需求与分析指标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11.1 MVP数据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000"/>
        <w:gridCol w:w="446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数据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MVP方式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必要字段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研究资料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用户上传真实授权文件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文件ID、标题、来源、时间、正文、页码、权限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证券主数据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试点公司清单或简化主数据表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证券ID、名称、代码、别名、行业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新增变化资料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人工批量上传公告/新闻/财报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来源、发布时间、正文、关联对象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指标数据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手工录入或CSV导入少量指标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指标、口径、单位、报告期、值、版本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用户与权限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MVP内置用户或接入简单身份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用户、角色、团队、可见范围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同业与基准数据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试点公司同业清单及基准序列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同业范围、行业基准、有效期和数据来源</w:t>
            </w:r>
          </w:p>
        </w:tc>
      </w:tr>
    </w:tbl>
    <w:p>
      <w:pPr>
        <w:spacing w:before="0" w:after="2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11.2 数据质量</w:t>
      </w:r>
    </w:p>
    <w:p>
      <w:pPr>
        <w:pStyle w:val="ListBullet"/>
        <w:spacing w:after="80"/>
      </w:pPr>
      <w:r>
        <w:rPr>
          <w:rFonts w:ascii="Arial" w:hAnsi="Arial" w:eastAsia="Microsoft YaHei"/>
          <w:b w:val="0"/>
          <w:i w:val="0"/>
          <w:color w:val="243746"/>
          <w:sz w:val="21"/>
        </w:rPr>
        <w:t>区分事件发生时间、文档发布时间、入库时间和AI处理时间。</w:t>
      </w:r>
    </w:p>
    <w:p>
      <w:pPr>
        <w:pStyle w:val="ListBullet"/>
        <w:spacing w:after="80"/>
      </w:pPr>
      <w:r>
        <w:rPr>
          <w:rFonts w:ascii="Arial" w:hAnsi="Arial" w:eastAsia="Microsoft YaHei"/>
          <w:b w:val="0"/>
          <w:i w:val="0"/>
          <w:color w:val="243746"/>
          <w:sz w:val="21"/>
        </w:rPr>
        <w:t>指标必须保留单位、币种、报告期、计算口径和修订版本。</w:t>
      </w:r>
    </w:p>
    <w:p>
      <w:pPr>
        <w:pStyle w:val="ListBullet"/>
        <w:spacing w:after="80"/>
      </w:pPr>
      <w:r>
        <w:rPr>
          <w:rFonts w:ascii="Arial" w:hAnsi="Arial" w:eastAsia="Microsoft YaHei"/>
          <w:b w:val="0"/>
          <w:i w:val="0"/>
          <w:color w:val="243746"/>
          <w:sz w:val="21"/>
        </w:rPr>
        <w:t>证据与文档权限一致，切片和生成不得扩大权限。</w:t>
      </w:r>
    </w:p>
    <w:p>
      <w:pPr>
        <w:pStyle w:val="ListBullet"/>
        <w:spacing w:after="80"/>
      </w:pPr>
      <w:r>
        <w:rPr>
          <w:rFonts w:ascii="Arial" w:hAnsi="Arial" w:eastAsia="Microsoft YaHei"/>
          <w:b w:val="0"/>
          <w:i w:val="0"/>
          <w:color w:val="243746"/>
          <w:sz w:val="21"/>
        </w:rPr>
        <w:t>同一事件多源去重，正式公告和权威来源优先。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11.3 北极星指标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r>
              <w:rPr>
                <w:rFonts w:ascii="Arial" w:hAnsi="Arial" w:eastAsia="Microsoft YaHei"/>
                <w:b/>
                <w:i w:val="0"/>
                <w:color w:val="2E74B5"/>
                <w:sz w:val="21"/>
              </w:rPr>
              <w:t xml:space="preserve">北极星指标  </w:t>
            </w:r>
            <w:r>
              <w:rPr>
                <w:rFonts w:ascii="Arial" w:hAnsi="Arial" w:eastAsia="Microsoft YaHei"/>
                <w:b w:val="0"/>
                <w:i w:val="0"/>
                <w:color w:val="243746"/>
                <w:sz w:val="21"/>
              </w:rPr>
              <w:t>经研究员确认，并触发后续研究、逻辑修改或复核行动的“有效逻辑变化”数量及占比。</w:t>
            </w:r>
          </w:p>
        </w:tc>
      </w:tr>
    </w:tbl>
    <w:p>
      <w:pPr>
        <w:spacing w:before="0" w:after="2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11.4 指标口径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4400"/>
        <w:gridCol w:w="306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指标</w:t>
            </w:r>
          </w:p>
        </w:tc>
        <w:tc>
          <w:tcPr>
            <w:tcW w:type="dxa" w:w="4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计算口径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用途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逻辑建档时长</w:t>
            </w:r>
          </w:p>
        </w:tc>
        <w:tc>
          <w:tcPr>
            <w:tcW w:type="dxa" w:w="4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发布V1时间-开始创建时间，中位数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验证结构化效率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AI草稿接受率</w:t>
            </w:r>
          </w:p>
        </w:tc>
        <w:tc>
          <w:tcPr>
            <w:tcW w:type="dxa" w:w="4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少量修改即可发布的草稿/已处理草稿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验证卡片抽取质量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有效变化率</w:t>
            </w:r>
          </w:p>
        </w:tc>
        <w:tc>
          <w:tcPr>
            <w:tcW w:type="dxa" w:w="4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确认支持+冲突+需复核/已处理变化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核心价值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无关提醒率</w:t>
            </w:r>
          </w:p>
        </w:tc>
        <w:tc>
          <w:tcPr>
            <w:tcW w:type="dxa" w:w="4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标记无关/已处理变化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控制提醒噪声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关联修改率</w:t>
            </w:r>
          </w:p>
        </w:tc>
        <w:tc>
          <w:tcPr>
            <w:tcW w:type="dxa" w:w="4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用户修改目标逻辑或假设的变化/已处理变化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判断关联质量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复核行动率</w:t>
            </w:r>
          </w:p>
        </w:tc>
        <w:tc>
          <w:tcPr>
            <w:tcW w:type="dxa" w:w="4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触发逻辑/预期/研究任务调整的有效变化/有效变化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验证业务影响</w:t>
            </w:r>
          </w:p>
        </w:tc>
      </w:tr>
      <w:t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引用正确率</w:t>
            </w:r>
          </w:p>
        </w:tc>
        <w:tc>
          <w:tcPr>
            <w:tcW w:type="dxa" w:w="4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引用能够支持对应结论的样本/抽检样本</w:t>
            </w:r>
          </w:p>
        </w:tc>
        <w:tc>
          <w:tcPr>
            <w:tcW w:type="dxa" w:w="3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模型治理</w:t>
            </w:r>
          </w:p>
        </w:tc>
      </w:tr>
    </w:tbl>
    <w:p>
      <w:pPr>
        <w:spacing w:before="0" w:after="2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11.5 核心埋点</w:t>
      </w:r>
    </w:p>
    <w:p>
      <w:pPr>
        <w:spacing w:before="0" w:after="12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  <w:t>记录创建入口、文件类型、AI生成耗时、字段修改、草稿发布、变化曝光、原文查看、确认、驳回、无关、关联修改、状态建议接受/拒绝、复核创建、逻辑关闭和复盘发布。事件需关联用户、逻辑、假设、证据、模型版本和时间。</w:t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2E74B5"/>
          <w:sz w:val="32"/>
        </w:rPr>
        <w:t>12. 权限、合规与非功能需求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12.1 权限与审计</w:t>
      </w:r>
    </w:p>
    <w:p>
      <w:pPr>
        <w:pStyle w:val="ListBullet"/>
        <w:spacing w:after="80"/>
      </w:pPr>
      <w:r>
        <w:rPr>
          <w:rFonts w:ascii="Arial" w:hAnsi="Arial" w:eastAsia="Microsoft YaHei"/>
          <w:b w:val="0"/>
          <w:i w:val="0"/>
          <w:color w:val="243746"/>
          <w:sz w:val="21"/>
        </w:rPr>
        <w:t>逻辑卡片支持私有、团队和授权范围；证据可见性不得高于来源资料。</w:t>
      </w:r>
    </w:p>
    <w:p>
      <w:pPr>
        <w:pStyle w:val="ListBullet"/>
        <w:spacing w:after="80"/>
      </w:pPr>
      <w:r>
        <w:rPr>
          <w:rFonts w:ascii="Arial" w:hAnsi="Arial" w:eastAsia="Microsoft YaHei"/>
          <w:b w:val="0"/>
          <w:i w:val="0"/>
          <w:color w:val="243746"/>
          <w:sz w:val="21"/>
        </w:rPr>
        <w:t>管理员配置系统不等于拥有全部研究内容访问权。</w:t>
      </w:r>
    </w:p>
    <w:p>
      <w:pPr>
        <w:pStyle w:val="ListBullet"/>
        <w:spacing w:after="80"/>
      </w:pPr>
      <w:r>
        <w:rPr>
          <w:rFonts w:ascii="Arial" w:hAnsi="Arial" w:eastAsia="Microsoft YaHei"/>
          <w:b w:val="0"/>
          <w:i w:val="0"/>
          <w:color w:val="243746"/>
          <w:sz w:val="21"/>
        </w:rPr>
        <w:t>正式逻辑、证据、状态和复盘均记录操作人、时间、原因和版本。</w:t>
      </w:r>
    </w:p>
    <w:p>
      <w:pPr>
        <w:pStyle w:val="ListBullet"/>
        <w:spacing w:after="80"/>
      </w:pPr>
      <w:r>
        <w:rPr>
          <w:rFonts w:ascii="Arial" w:hAnsi="Arial" w:eastAsia="Microsoft YaHei"/>
          <w:b w:val="0"/>
          <w:i w:val="0"/>
          <w:color w:val="243746"/>
          <w:sz w:val="21"/>
        </w:rPr>
        <w:t>外部模型调用须遵循数据分类和脱敏要求，受限数据使用批准的私有环境。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12.2 非功能要求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类别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MVP要求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性能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列表P95≤2秒；详情P95≤3秒；50页以内资料草稿生成目标≤3分钟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可用性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试点月度可用性≥99.5%；失败任务可重试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容量假设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50名用户、30家公司、100条逻辑、1万份历史资料；待试点校准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安全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传输/存储加密、最小权限、测试与生产隔离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可解释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正式AI结论展示来源、引用、模型版本和确认状态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可维护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提示、模型、规则、词典和Schema版本化，可回滚</w:t>
            </w:r>
          </w:p>
        </w:tc>
      </w:tr>
    </w:tbl>
    <w:p>
      <w:pPr>
        <w:spacing w:before="0" w:after="2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2E74B5"/>
          <w:sz w:val="32"/>
        </w:rPr>
        <w:t>13. MVP验收与版本规划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13.1 验收标准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验收域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通过标准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完整闭环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完成观点/资料输入→卡片草稿→人工发布→新资料关联→人工确认→状态复核→时间线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卡片质量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目标研究员认可字段结构；核心字段完整；来源可追溯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AI质量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卡片草稿业务可接受率≥80%；事件-假设Top-3召回率≥85%；影响方向准确率≥75%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提醒质量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试点无关提醒率≤30%；同一事件不重复提醒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权限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无越权检索、摘要、引用和导出</w:t>
            </w:r>
          </w:p>
        </w:tc>
      </w:tr>
      <w:tr>
        <w:tc>
          <w:tcPr>
            <w:tcW w:type="dxa" w:w="2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用户验证</w:t>
            </w:r>
          </w:p>
        </w:tc>
        <w:tc>
          <w:tcPr>
            <w:tcW w:type="dxa" w:w="72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不少于5名研究员完成核心任务，任务完成率≥80%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数据验证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预期差、同比环比和趋势计算可复算；简单同业比较展示口径和范围；结果不被表述为因果证明</w:t>
            </w:r>
          </w:p>
        </w:tc>
      </w:tr>
    </w:tbl>
    <w:p>
      <w:pPr>
        <w:spacing w:before="0" w:after="2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13.2 Demo建议</w:t>
      </w:r>
    </w:p>
    <w:p>
      <w:pPr>
        <w:spacing w:before="0" w:after="12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  <w:t>选择一个公开资料丰富、逻辑链清晰的试点行业，覆盖3家公司、每家公司1至2条逻辑。演示一条逻辑从研报抽取、研究员确认，到新政策/公告进入、形成候选证据、确认冲突、触发复核和产生新版本的完整故事。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13.3 版本路线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4550"/>
        <w:gridCol w:w="3310"/>
      </w:tblGrid>
      <w:tr>
        <w:trPr>
          <w:tblHeader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阶段</w:t>
            </w:r>
          </w:p>
        </w:tc>
        <w:tc>
          <w:tcPr>
            <w:tcW w:type="dxa" w:w="4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主要交付</w:t>
            </w:r>
          </w:p>
        </w:tc>
        <w:tc>
          <w:tcPr>
            <w:tcW w:type="dxa" w:w="3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进入下一阶段条件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V0 原型</w:t>
            </w:r>
          </w:p>
        </w:tc>
        <w:tc>
          <w:tcPr>
            <w:tcW w:type="dxa" w:w="4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卡片、变化卡片、工作台和时间线高保真原型</w:t>
            </w:r>
          </w:p>
        </w:tc>
        <w:tc>
          <w:tcPr>
            <w:tcW w:type="dxa" w:w="3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5名目标用户认可核心对象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V1 MVP</w:t>
            </w:r>
          </w:p>
        </w:tc>
        <w:tc>
          <w:tcPr>
            <w:tcW w:type="dxa" w:w="4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上传资料、AI草稿、人工确认、变化关联、轻量数据验证、状态和审计</w:t>
            </w:r>
          </w:p>
        </w:tc>
        <w:tc>
          <w:tcPr>
            <w:tcW w:type="dxa" w:w="3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验收指标达标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V1.5 数据增强</w:t>
            </w:r>
          </w:p>
        </w:tc>
        <w:tc>
          <w:tcPr>
            <w:tcW w:type="dxa" w:w="4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自动接入公告/新闻、指标刷新、预期差</w:t>
            </w:r>
          </w:p>
        </w:tc>
        <w:tc>
          <w:tcPr>
            <w:tcW w:type="dxa" w:w="3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数据授权和口径稳定</w:t>
            </w:r>
          </w:p>
        </w:tc>
      </w:tr>
      <w:t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V2 决策增强</w:t>
            </w:r>
          </w:p>
        </w:tc>
        <w:tc>
          <w:tcPr>
            <w:tcW w:type="dxa" w:w="4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组合视图、财务影响、专业因子/回测平台集成和案例推荐</w:t>
            </w:r>
          </w:p>
        </w:tc>
        <w:tc>
          <w:tcPr>
            <w:tcW w:type="dxa" w:w="3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核心对象积累和治理成熟</w:t>
            </w:r>
          </w:p>
        </w:tc>
      </w:tr>
    </w:tbl>
    <w:p>
      <w:pPr>
        <w:spacing w:before="0" w:after="2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2E74B5"/>
          <w:sz w:val="32"/>
        </w:rPr>
        <w:t>14. 风险与待确认事项</w:t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14.1 主要风险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200"/>
        <w:gridCol w:w="4360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风险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表现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应对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对象过度复杂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卡片字段太多导致研究员不维护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MVP只保留六个区块，逐项验证使用价值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伪装成情绪监控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只输出正负面，未维护假设和预期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强制事件关联具体假设和研究员原预期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AI替用户判断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自动修改状态或产生买卖建议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正式状态和证据必须人工确认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伪精确评分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展示未经校准的可信度百分比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使用离散状态、证据和理由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数据口径混乱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不同报告期和来源直接比较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指标字典、口径校验和确定性计算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范围失控</w:t>
            </w:r>
          </w:p>
        </w:tc>
        <w:tc>
          <w:tcPr>
            <w:tcW w:type="dxa" w:w="3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同时建设资讯、财务、因子、组合和Agent平台</w:t>
            </w:r>
          </w:p>
        </w:tc>
        <w:tc>
          <w:tcPr>
            <w:tcW w:type="dxa" w:w="4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先验证核心卡片与变化闭环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量化能力越界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非金融团队自行建设因子挖掘和复杂回测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MVP只做确定性数据验证；复杂统计验证对接专业平台并由金融专家评审</w:t>
            </w:r>
          </w:p>
        </w:tc>
      </w:tr>
    </w:tbl>
    <w:p>
      <w:pPr>
        <w:spacing w:before="0" w:after="2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</w:r>
    </w:p>
    <w:p>
      <w:pPr>
        <w:pStyle w:val="Heading2"/>
        <w:keepNext/>
      </w:pPr>
      <w:r>
        <w:rPr>
          <w:rFonts w:ascii="Arial" w:hAnsi="Arial" w:eastAsia="Microsoft YaHei"/>
          <w:b/>
          <w:i w:val="0"/>
          <w:color w:val="2E74B5"/>
          <w:sz w:val="26"/>
        </w:rPr>
        <w:t>14.2 待业务确认</w:t>
      </w:r>
    </w:p>
    <w:p>
      <w:pPr>
        <w:pStyle w:val="ListBullet"/>
        <w:spacing w:after="80"/>
      </w:pPr>
      <w:r>
        <w:rPr>
          <w:rFonts w:ascii="Arial" w:hAnsi="Arial" w:eastAsia="Microsoft YaHei"/>
          <w:b w:val="0"/>
          <w:i w:val="0"/>
          <w:color w:val="243746"/>
          <w:sz w:val="21"/>
        </w:rPr>
        <w:t>试点行业、公司和目标研究员。</w:t>
      </w:r>
    </w:p>
    <w:p>
      <w:pPr>
        <w:pStyle w:val="ListBullet"/>
        <w:spacing w:after="80"/>
      </w:pPr>
      <w:r>
        <w:rPr>
          <w:rFonts w:ascii="Arial" w:hAnsi="Arial" w:eastAsia="Microsoft YaHei"/>
          <w:b w:val="0"/>
          <w:i w:val="0"/>
          <w:color w:val="243746"/>
          <w:sz w:val="21"/>
        </w:rPr>
        <w:t>研究员现有观点材料的典型格式和可使用样本。</w:t>
      </w:r>
    </w:p>
    <w:p>
      <w:pPr>
        <w:pStyle w:val="ListBullet"/>
        <w:spacing w:after="80"/>
      </w:pPr>
      <w:r>
        <w:rPr>
          <w:rFonts w:ascii="Arial" w:hAnsi="Arial" w:eastAsia="Microsoft YaHei"/>
          <w:b w:val="0"/>
          <w:i w:val="0"/>
          <w:color w:val="243746"/>
          <w:sz w:val="21"/>
        </w:rPr>
        <w:t>卡片中必填字段是否符合实际研究习惯。</w:t>
      </w:r>
    </w:p>
    <w:p>
      <w:pPr>
        <w:pStyle w:val="ListBullet"/>
        <w:spacing w:after="80"/>
      </w:pPr>
      <w:r>
        <w:rPr>
          <w:rFonts w:ascii="Arial" w:hAnsi="Arial" w:eastAsia="Microsoft YaHei"/>
          <w:b w:val="0"/>
          <w:i w:val="0"/>
          <w:color w:val="243746"/>
          <w:sz w:val="21"/>
        </w:rPr>
        <w:t>哪些事件和指标最适合首期验证。</w:t>
      </w:r>
    </w:p>
    <w:p>
      <w:pPr>
        <w:pStyle w:val="ListBullet"/>
        <w:spacing w:after="80"/>
      </w:pPr>
      <w:r>
        <w:rPr>
          <w:rFonts w:ascii="Arial" w:hAnsi="Arial" w:eastAsia="Microsoft YaHei"/>
          <w:b w:val="0"/>
          <w:i w:val="0"/>
          <w:color w:val="243746"/>
          <w:sz w:val="21"/>
        </w:rPr>
        <w:t>研究员是否愿意记录明确预期和失效条件。</w:t>
      </w:r>
    </w:p>
    <w:p>
      <w:pPr>
        <w:pStyle w:val="ListBullet"/>
        <w:spacing w:after="80"/>
      </w:pPr>
      <w:r>
        <w:rPr>
          <w:rFonts w:ascii="Arial" w:hAnsi="Arial" w:eastAsia="Microsoft YaHei"/>
          <w:b w:val="0"/>
          <w:i w:val="0"/>
          <w:color w:val="243746"/>
          <w:sz w:val="21"/>
        </w:rPr>
        <w:t>卡片的默认可见范围和审核机制。</w:t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2E74B5"/>
          <w:sz w:val="32"/>
        </w:rPr>
        <w:t>附录A. 完整示例卡片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00"/>
        <w:gridCol w:w="7360"/>
      </w:tblGrid>
      <w:tr>
        <w:trPr>
          <w:tblHeader w:val="true"/>
        </w:trP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区块</w:t>
            </w:r>
          </w:p>
        </w:tc>
        <w:tc>
          <w:tcPr>
            <w:tcW w:type="dxa" w:w="7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示例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基本信息</w:t>
            </w:r>
          </w:p>
        </w:tc>
        <w:tc>
          <w:tcPr>
            <w:tcW w:type="dxa" w:w="7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某新能源设备公司｜看多｜未来8个季度｜负责人：研究员A｜状态：验证中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核心观点</w:t>
            </w:r>
          </w:p>
        </w:tc>
        <w:tc>
          <w:tcPr>
            <w:tcW w:type="dxa" w:w="7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海外储能需求增长和公司订单份额提升，将推动海外储能收入快速增长，并成为未来两年的重要利润来源。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H1 行业假设</w:t>
            </w:r>
          </w:p>
        </w:tc>
        <w:tc>
          <w:tcPr>
            <w:tcW w:type="dxa" w:w="7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海外储能装机需求持续增长。指标：海外装机增速；预期：不低于20%。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H2 公司假设</w:t>
            </w:r>
          </w:p>
        </w:tc>
        <w:tc>
          <w:tcPr>
            <w:tcW w:type="dxa" w:w="7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公司海外订单份额持续提升。指标：海外订单增速；预期：不低于30%。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H3 盈利假设</w:t>
            </w:r>
          </w:p>
        </w:tc>
        <w:tc>
          <w:tcPr>
            <w:tcW w:type="dxa" w:w="7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海外业务毛利率不低于公司整体水平。指标：海外毛利率；预期：不低于22%。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支持证据</w:t>
            </w:r>
          </w:p>
        </w:tc>
        <w:tc>
          <w:tcPr>
            <w:tcW w:type="dxa" w:w="7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公司公告披露海外订单增长；正式Demo需替换为真实资料和引用。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冲突证据</w:t>
            </w:r>
          </w:p>
        </w:tc>
        <w:tc>
          <w:tcPr>
            <w:tcW w:type="dxa" w:w="7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部分地区补贴政策调整，可能影响项目经济性；当前待研究员确认。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风险</w:t>
            </w:r>
          </w:p>
        </w:tc>
        <w:tc>
          <w:tcPr>
            <w:tcW w:type="dxa" w:w="7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政策调整、竞争者扩产、项目延期、价格下降。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失效条件</w:t>
            </w:r>
          </w:p>
        </w:tc>
        <w:tc>
          <w:tcPr>
            <w:tcW w:type="dxa" w:w="7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海外收入连续两个季度低于研究员预期20%以上，或海外毛利率连续两个报告期低于阈值。</w:t>
            </w:r>
          </w:p>
        </w:tc>
      </w:tr>
      <w:tr>
        <w:tc>
          <w:tcPr>
            <w:tcW w:type="dxa" w:w="2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下一复核</w:t>
            </w:r>
          </w:p>
        </w:tc>
        <w:tc>
          <w:tcPr>
            <w:tcW w:type="dxa" w:w="7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下一次季度报告发布后5个工作日内。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数据验证</w:t>
            </w:r>
          </w:p>
        </w:tc>
        <w:tc>
          <w:tcPr>
            <w:tcW w:type="dxa" w:w="7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b w:val="0"/>
                <w:color w:val="243746"/>
                <w:sz w:val="17"/>
              </w:rPr>
              <w:t>海外订单增速实际22%，低于研究员预期30%共8个百分点；连续两个季度放缓；同业中位数为25%。结果为“部分冲突”，由研究员确认是否调整预期。</w:t>
            </w:r>
          </w:p>
        </w:tc>
      </w:tr>
    </w:tbl>
    <w:p>
      <w:pPr>
        <w:spacing w:before="0" w:after="2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</w:r>
    </w:p>
    <w:p>
      <w:pPr>
        <w:pStyle w:val="Heading1"/>
        <w:keepNext/>
      </w:pPr>
      <w:r>
        <w:rPr>
          <w:rFonts w:ascii="Arial" w:hAnsi="Arial" w:eastAsia="Microsoft YaHei"/>
          <w:b/>
          <w:i w:val="0"/>
          <w:color w:val="2E74B5"/>
          <w:sz w:val="32"/>
        </w:rPr>
        <w:t>附录B. 术语表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术语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Arial" w:hAnsi="Arial" w:eastAsia="Microsoft YaHe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Investment Thesis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针对投资对象、在一定期限内形成的可验证价值判断。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Thesis Card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投资逻辑在产品中的结构化载体和详情页。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Hypothesis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投资逻辑成立所依赖、可被支持或反驳的条件。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Expectation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研究员在特定时点记录的预期值、区间或事件判断。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Evidence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经确认后用于支持或冲突某条假设的事实性材料。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Risk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可能削弱逻辑、但尚未达到推翻程度的不确定因素。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Invalidator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触发后必须重新评估逻辑的明确条件。</w:t>
            </w:r>
          </w:p>
        </w:tc>
      </w:tr>
      <w:tr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变化雷达</w:t>
            </w:r>
          </w:p>
        </w:tc>
        <w:tc>
          <w:tcPr>
            <w:tcW w:type="dxa" w:w="70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 w:eastAsia="Microsoft YaHei"/>
                <w:b w:val="0"/>
                <w:i w:val="0"/>
                <w:color w:val="243746"/>
                <w:sz w:val="17"/>
              </w:rPr>
              <w:t>将新增事实、事件和指标变化关联到已有逻辑与假设的能力。</w:t>
            </w:r>
          </w:p>
        </w:tc>
      </w:tr>
    </w:tbl>
    <w:p>
      <w:pPr>
        <w:spacing w:before="0" w:after="20" w:line="276" w:lineRule="auto"/>
      </w:pPr>
      <w:r>
        <w:rPr>
          <w:rFonts w:ascii="Arial" w:hAnsi="Arial" w:eastAsia="Microsoft YaHei"/>
          <w:b w:val="0"/>
          <w:i w:val="0"/>
          <w:color w:val="243746"/>
          <w:sz w:val="21"/>
        </w:rPr>
      </w:r>
    </w:p>
    <w:p>
      <w:pPr>
        <w:spacing w:before="320" w:after="120" w:line="276" w:lineRule="auto"/>
        <w:jc w:val="center"/>
      </w:pPr>
      <w:r>
        <w:rPr>
          <w:rFonts w:ascii="Arial" w:hAnsi="Arial" w:eastAsia="Microsoft YaHei"/>
          <w:b/>
          <w:i w:val="0"/>
          <w:color w:val="667786"/>
          <w:sz w:val="18"/>
        </w:rPr>
        <w:t>文档结束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b w:val="0"/>
        <w:i w:val="0"/>
        <w:color w:val="667786"/>
        <w:sz w:val="17"/>
      </w:rPr>
      <w:t xml:space="preserve">第 </w:t>
      <w:fldChar w:fldCharType="begin"/>
      <w:instrText xml:space="preserve">PAGE</w:instrText>
      <w:fldChar w:fldCharType="separate"/>
      <w:fldChar w:fldCharType="end"/>
    </w:r>
    <w:r>
      <w:rPr>
        <w:rFonts w:ascii="Arial" w:hAnsi="Arial" w:eastAsia="Microsoft YaHei"/>
        <w:b w:val="0"/>
        <w:i w:val="0"/>
        <w:color w:val="66778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Microsoft YaHei"/>
        <w:b/>
        <w:i w:val="0"/>
        <w:color w:val="667786"/>
        <w:sz w:val="17"/>
      </w:rPr>
      <w:t>AI Investment Copilot | 产品需求文档 V1.2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Microsoft YaHei"/>
      <w:color w:val="24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83B5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rial" w:hAnsi="Arial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rial" w:hAnsi="Arial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rial" w:hAnsi="Arial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