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独立金标 v3</w:t>
        <w:br/>
        <w:t>标注手册</w:t>
      </w:r>
    </w:p>
    <w:p>
      <w:pPr>
        <w:pStyle w:val="CoverSubtitle"/>
      </w:pPr>
      <w:r>
        <w:t>双人独立盲标 · 事件语义、正文事实与 Graph RAG 关系评测</w:t>
      </w:r>
    </w:p>
    <w:p>
      <w:r>
        <w:t>版本：independent-gold-v3-20260826</w:t>
      </w:r>
    </w:p>
    <w:p>
      <w:r>
        <w:t>冻结日期：2026-08-26（Asia/Shanghai）</w:t>
      </w:r>
    </w:p>
    <w:p>
      <w:r>
        <w:t>适用范围：三行业九家公司公开披露，2024-01-03 至 2026-08-04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521"/>
        <w:gridCol w:w="7839"/>
      </w:tblGrid>
      <w:tr>
        <w:trPr>
          <w:tblHeader w:val="true"/>
        </w:trPr>
        <w:tc>
          <w:tcPr>
            <w:tcW w:type="dxa" w:w="1521"/>
            <w:shd w:fill="2E74B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核心原则</w:t>
            </w:r>
          </w:p>
        </w:tc>
        <w:tc>
          <w:tcPr>
            <w:tcW w:type="dxa" w:w="7839"/>
            <w:shd w:fill="E2F0D9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交付给研究员的文件只是待标注输入，不是金标。只有 A/B 独立完成、差异被裁决、结构校验通过并冻结版本后，才可称为独立金标。</w:t>
            </w:r>
          </w:p>
        </w:tc>
      </w:tr>
    </w:tbl>
    <w:p>
      <w:pPr>
        <w:spacing w:after="0"/>
      </w:pPr>
    </w:p>
    <w:p/>
    <w:p>
      <w:r>
        <w:t>本手册采用 compact reference guide 版式，便于标注时并排查阅。所有判断均用于研究协作与模型评测，不构成投资建议。</w:t>
      </w:r>
      <w:r>
        <w:br w:type="page"/>
      </w:r>
    </w:p>
    <w:p>
      <w:pPr>
        <w:pStyle w:val="Heading1"/>
      </w:pPr>
      <w:r>
        <w:t>目录与执行摘要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19"/>
        <w:gridCol w:w="1872"/>
        <w:gridCol w:w="1755"/>
        <w:gridCol w:w="4914"/>
      </w:tblGrid>
      <w:tr>
        <w:trPr>
          <w:tblHeader w:val="true"/>
        </w:trPr>
        <w:tc>
          <w:tcPr>
            <w:tcW w:type="dxa" w:w="819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1872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755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本轮规模</w:t>
            </w:r>
          </w:p>
        </w:tc>
        <w:tc>
          <w:tcPr>
            <w:tcW w:type="dxa" w:w="4914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主要产出</w:t>
            </w:r>
          </w:p>
        </w:tc>
      </w:tr>
      <w:tr>
        <w:trPr/>
        <w:tc>
          <w:tcPr>
            <w:tcW w:type="dxa" w:w="819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872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事件语义</w:t>
            </w:r>
          </w:p>
        </w:tc>
        <w:tc>
          <w:tcPr>
            <w:tcW w:type="dxa" w:w="175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120 条 × 2 人</w:t>
            </w:r>
          </w:p>
        </w:tc>
        <w:tc>
          <w:tcPr>
            <w:tcW w:type="dxa" w:w="4914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筛选、假设匹配、方向、强度、直接性</w:t>
            </w:r>
          </w:p>
        </w:tc>
      </w:tr>
      <w:tr>
        <w:trPr/>
        <w:tc>
          <w:tcPr>
            <w:tcW w:type="dxa" w:w="81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正文事实</w:t>
            </w:r>
          </w:p>
        </w:tc>
        <w:tc>
          <w:tcPr>
            <w:tcW w:type="dxa" w:w="17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60 条 × 2 人</w:t>
            </w:r>
          </w:p>
        </w:tc>
        <w:tc>
          <w:tcPr>
            <w:tcW w:type="dxa" w:w="491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正文定位、事实类型、变化方向、数值与发生期</w:t>
            </w:r>
          </w:p>
        </w:tc>
      </w:tr>
      <w:tr>
        <w:trPr/>
        <w:tc>
          <w:tcPr>
            <w:tcW w:type="dxa" w:w="819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1872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Graph RAG 关系</w:t>
            </w:r>
          </w:p>
        </w:tc>
        <w:tc>
          <w:tcPr>
            <w:tcW w:type="dxa" w:w="175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180 对 × 2 人</w:t>
            </w:r>
          </w:p>
        </w:tc>
        <w:tc>
          <w:tcPr>
            <w:tcW w:type="dxa" w:w="4914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0–3 级相关性、关系路径可成立性</w:t>
            </w:r>
          </w:p>
        </w:tc>
      </w:tr>
      <w:tr>
        <w:trPr/>
        <w:tc>
          <w:tcPr>
            <w:tcW w:type="dxa" w:w="81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分歧裁决</w:t>
            </w:r>
          </w:p>
        </w:tc>
        <w:tc>
          <w:tcPr>
            <w:tcW w:type="dxa" w:w="17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动态</w:t>
            </w:r>
          </w:p>
        </w:tc>
        <w:tc>
          <w:tcPr>
            <w:tcW w:type="dxa" w:w="491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保留 A/B 原始结果，形成最终裁决标签</w:t>
            </w:r>
          </w:p>
        </w:tc>
      </w:tr>
      <w:tr>
        <w:trPr/>
        <w:tc>
          <w:tcPr>
            <w:tcW w:type="dxa" w:w="819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1872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冻结与评测</w:t>
            </w:r>
          </w:p>
        </w:tc>
        <w:tc>
          <w:tcPr>
            <w:tcW w:type="dxa" w:w="175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1 个版本</w:t>
            </w:r>
          </w:p>
        </w:tc>
        <w:tc>
          <w:tcPr>
            <w:tcW w:type="dxa" w:w="4914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契约、样本哈希、指标和审计清单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521"/>
        <w:gridCol w:w="7839"/>
      </w:tblGrid>
      <w:tr>
        <w:trPr>
          <w:tblHeader w:val="true"/>
        </w:trPr>
        <w:tc>
          <w:tcPr>
            <w:tcW w:type="dxa" w:w="1521"/>
            <w:shd w:fill="2E74B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工作量</w:t>
            </w:r>
          </w:p>
        </w:tc>
        <w:tc>
          <w:tcPr>
            <w:tcW w:type="dxa" w:w="7839"/>
            <w:shd w:fill="FFF2CC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每位研究员共 360 个判断单元。建议拆为 3–4 次完成，每次 60–90 分钟；不得为了追求完成率跳过原文核对。</w:t>
            </w:r>
          </w:p>
        </w:tc>
      </w:tr>
    </w:tbl>
    <w:p>
      <w:pPr>
        <w:spacing w:after="0"/>
      </w:pPr>
    </w:p>
    <w:p>
      <w:pPr>
        <w:pStyle w:val="Heading2"/>
      </w:pPr>
      <w:r>
        <w:t>研究员收到的文件</w:t>
      </w:r>
    </w:p>
    <w:p>
      <w:pPr>
        <w:pStyle w:val="ListBullet"/>
        <w:spacing w:after="60"/>
      </w:pPr>
      <w:r>
        <w:t>标注员 A/B 各一份独立工作簿；两份样本相同、顺序不同。</w:t>
      </w:r>
    </w:p>
    <w:p>
      <w:pPr>
        <w:pStyle w:val="ListBullet"/>
        <w:spacing w:after="60"/>
      </w:pPr>
      <w:r>
        <w:t>本手册；用于定义口径、异常处理、回收和裁决规则。</w:t>
      </w:r>
    </w:p>
    <w:p>
      <w:pPr>
        <w:pStyle w:val="ListBullet"/>
        <w:spacing w:after="60"/>
      </w:pPr>
      <w:r>
        <w:t>原文链接已逐条写入；固定字段、核心观点和 H1/H2/H3 均自包含在工作簿中。</w:t>
      </w:r>
    </w:p>
    <w:p>
      <w:pPr>
        <w:pStyle w:val="ListBullet"/>
        <w:spacing w:after="60"/>
      </w:pPr>
      <w:r>
        <w:t>裁决员另收分歧裁决工作簿；标注员不得查看。</w:t>
      </w:r>
    </w:p>
    <w:p>
      <w:pPr>
        <w:pStyle w:val="Heading1"/>
      </w:pPr>
      <w:r>
        <w:t>1. 目前还缺什么金标</w:t>
      </w:r>
    </w:p>
    <w:p>
      <w:r>
        <w:t>项目已有 59 条单人盲标和 27 条冻结研究员方向样本，但它们不能完整覆盖当前产品。前者无法计算标注者间一致性，后者主要验证方向闭环，且已有正文事实模板仍为空。Graph RAG 已实现关系检索，但尚无独立的真实问题/关系金标。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5"/>
        <w:gridCol w:w="2691"/>
        <w:gridCol w:w="2106"/>
        <w:gridCol w:w="2808"/>
      </w:tblGrid>
      <w:tr>
        <w:trPr>
          <w:tblHeader w:val="true"/>
        </w:trPr>
        <w:tc>
          <w:tcPr>
            <w:tcW w:type="dxa" w:w="1755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金标类型</w:t>
            </w:r>
          </w:p>
        </w:tc>
        <w:tc>
          <w:tcPr>
            <w:tcW w:type="dxa" w:w="2691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为什么需要</w:t>
            </w:r>
          </w:p>
        </w:tc>
        <w:tc>
          <w:tcPr>
            <w:tcW w:type="dxa" w:w="2106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本包是否覆盖</w:t>
            </w:r>
          </w:p>
        </w:tc>
        <w:tc>
          <w:tcPr>
            <w:tcW w:type="dxa" w:w="2808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评测用途</w:t>
            </w:r>
          </w:p>
        </w:tc>
      </w:tr>
      <w:tr>
        <w:trPr/>
        <w:tc>
          <w:tcPr>
            <w:tcW w:type="dxa" w:w="175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事件语义双人金标</w:t>
            </w:r>
          </w:p>
        </w:tc>
        <w:tc>
          <w:tcPr>
            <w:tcW w:type="dxa" w:w="2691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补齐事件筛选、证券归属、假设匹配、方向、强度</w:t>
            </w:r>
          </w:p>
        </w:tc>
        <w:tc>
          <w:tcPr>
            <w:tcW w:type="dxa" w:w="2106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是，120 条全量双标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Precision/Recall、准确率、宏平均 F1、Cohen κ</w:t>
            </w:r>
          </w:p>
        </w:tc>
      </w:tr>
      <w:tr>
        <w:trPr/>
        <w:tc>
          <w:tcPr>
            <w:tcW w:type="dxa" w:w="17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正文事实金标</w:t>
            </w:r>
          </w:p>
        </w:tc>
        <w:tc>
          <w:tcPr>
            <w:tcW w:type="dxa" w:w="269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检验是否真正读取正文，而非只读标题</w:t>
            </w:r>
          </w:p>
        </w:tc>
        <w:tc>
          <w:tcPr>
            <w:tcW w:type="dxa" w:w="210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是，60 条全量双标</w:t>
            </w:r>
          </w:p>
        </w:tc>
        <w:tc>
          <w:tcPr>
            <w:tcW w:type="dxa" w:w="280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事实抽取 P/R/F1、类型与方向准确率</w:t>
            </w:r>
          </w:p>
        </w:tc>
      </w:tr>
      <w:tr>
        <w:trPr/>
        <w:tc>
          <w:tcPr>
            <w:tcW w:type="dxa" w:w="175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Graph RAG 相关性金标</w:t>
            </w:r>
          </w:p>
        </w:tc>
        <w:tc>
          <w:tcPr>
            <w:tcW w:type="dxa" w:w="2691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比较 text-only、hybrid、graph 三路召回</w:t>
            </w:r>
          </w:p>
        </w:tc>
        <w:tc>
          <w:tcPr>
            <w:tcW w:type="dxa" w:w="2106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是，180 个关系对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Recall@K、MRR、NDCG@K、路径正确率</w:t>
            </w:r>
          </w:p>
        </w:tc>
      </w:tr>
      <w:tr>
        <w:trPr/>
        <w:tc>
          <w:tcPr>
            <w:tcW w:type="dxa" w:w="17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裁决与审计文件</w:t>
            </w:r>
          </w:p>
        </w:tc>
        <w:tc>
          <w:tcPr>
            <w:tcW w:type="dxa" w:w="269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将 A/B 不一致变成可追溯的最终标签</w:t>
            </w:r>
          </w:p>
        </w:tc>
        <w:tc>
          <w:tcPr>
            <w:tcW w:type="dxa" w:w="210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是，工作簿+契约+哈希</w:t>
            </w:r>
          </w:p>
        </w:tc>
        <w:tc>
          <w:tcPr>
            <w:tcW w:type="dxa" w:w="280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金标版本治理与复算</w:t>
            </w:r>
          </w:p>
        </w:tc>
      </w:tr>
      <w:tr>
        <w:trPr/>
        <w:tc>
          <w:tcPr>
            <w:tcW w:type="dxa" w:w="175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量化结果标签</w:t>
            </w:r>
          </w:p>
        </w:tc>
        <w:tc>
          <w:tcPr>
            <w:tcW w:type="dxa" w:w="2691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收益、回撤和基准超额由行情计算</w:t>
            </w:r>
          </w:p>
        </w:tc>
        <w:tc>
          <w:tcPr>
            <w:tcW w:type="dxa" w:w="2106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不交给研究员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量化回测；与语义金标分离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521"/>
        <w:gridCol w:w="7839"/>
      </w:tblGrid>
      <w:tr>
        <w:trPr>
          <w:tblHeader w:val="true"/>
        </w:trPr>
        <w:tc>
          <w:tcPr>
            <w:tcW w:type="dxa" w:w="1521"/>
            <w:shd w:fill="2E74B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不要混用</w:t>
            </w:r>
          </w:p>
        </w:tc>
        <w:tc>
          <w:tcPr>
            <w:tcW w:type="dxa" w:w="7839"/>
            <w:shd w:fill="FFF2CC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研究员评的是“证据是否支持投资假设”；量化链路评的是“冻结信号后市场或基本面发生了什么”。后续收益不能反向决定语义标签。</w:t>
            </w:r>
          </w:p>
        </w:tc>
      </w:tr>
    </w:tbl>
    <w:p>
      <w:pPr>
        <w:spacing w:after="0"/>
      </w:pPr>
    </w:p>
    <w:p>
      <w:pPr>
        <w:pStyle w:val="Heading1"/>
      </w:pPr>
      <w:r>
        <w:t>2. 角色、盲法与执行顺序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4"/>
        <w:gridCol w:w="2574"/>
        <w:gridCol w:w="2691"/>
        <w:gridCol w:w="2691"/>
      </w:tblGrid>
      <w:tr>
        <w:trPr>
          <w:tblHeader w:val="true"/>
        </w:trPr>
        <w:tc>
          <w:tcPr>
            <w:tcW w:type="dxa" w:w="1404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574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可查看</w:t>
            </w:r>
          </w:p>
        </w:tc>
        <w:tc>
          <w:tcPr>
            <w:tcW w:type="dxa" w:w="2691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不可查看</w:t>
            </w:r>
          </w:p>
        </w:tc>
        <w:tc>
          <w:tcPr>
            <w:tcW w:type="dxa" w:w="2691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责任</w:t>
            </w:r>
          </w:p>
        </w:tc>
      </w:tr>
      <w:tr>
        <w:trPr/>
        <w:tc>
          <w:tcPr>
            <w:tcW w:type="dxa" w:w="1404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标注员 A</w:t>
            </w:r>
          </w:p>
        </w:tc>
        <w:tc>
          <w:tcPr>
            <w:tcW w:type="dxa" w:w="2574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A 工作簿、手册、公告原文</w:t>
            </w:r>
          </w:p>
        </w:tc>
        <w:tc>
          <w:tcPr>
            <w:tcW w:type="dxa" w:w="2691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B 文件、历史标签、模型输出</w:t>
            </w:r>
          </w:p>
        </w:tc>
        <w:tc>
          <w:tcPr>
            <w:tcW w:type="dxa" w:w="2691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逐行独立完成并保留证据</w:t>
            </w:r>
          </w:p>
        </w:tc>
      </w:tr>
      <w:tr>
        <w:trPr/>
        <w:tc>
          <w:tcPr>
            <w:tcW w:type="dxa" w:w="140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标注员 B</w:t>
            </w:r>
          </w:p>
        </w:tc>
        <w:tc>
          <w:tcPr>
            <w:tcW w:type="dxa" w:w="25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B 工作簿、手册、公告原文</w:t>
            </w:r>
          </w:p>
        </w:tc>
        <w:tc>
          <w:tcPr>
            <w:tcW w:type="dxa" w:w="269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A 文件、历史标签、模型输出</w:t>
            </w:r>
          </w:p>
        </w:tc>
        <w:tc>
          <w:tcPr>
            <w:tcW w:type="dxa" w:w="269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逐行独立完成并保留证据</w:t>
            </w:r>
          </w:p>
        </w:tc>
      </w:tr>
      <w:tr>
        <w:trPr/>
        <w:tc>
          <w:tcPr>
            <w:tcW w:type="dxa" w:w="1404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裁决员</w:t>
            </w:r>
          </w:p>
        </w:tc>
        <w:tc>
          <w:tcPr>
            <w:tcW w:type="dxa" w:w="2574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原文、固定字段、A/B 原始结果</w:t>
            </w:r>
          </w:p>
        </w:tc>
        <w:tc>
          <w:tcPr>
            <w:tcW w:type="dxa" w:w="2691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收益结果、模型建议</w:t>
            </w:r>
          </w:p>
        </w:tc>
        <w:tc>
          <w:tcPr>
            <w:tcW w:type="dxa" w:w="2691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仅裁决差异和低置信样本</w:t>
            </w:r>
          </w:p>
        </w:tc>
      </w:tr>
      <w:tr>
        <w:trPr/>
        <w:tc>
          <w:tcPr>
            <w:tcW w:type="dxa" w:w="140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数据管理员</w:t>
            </w:r>
          </w:p>
        </w:tc>
        <w:tc>
          <w:tcPr>
            <w:tcW w:type="dxa" w:w="25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母表、契约、回收文件、哈希</w:t>
            </w:r>
          </w:p>
        </w:tc>
        <w:tc>
          <w:tcPr>
            <w:tcW w:type="dxa" w:w="269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无业务裁决权</w:t>
            </w:r>
          </w:p>
        </w:tc>
        <w:tc>
          <w:tcPr>
            <w:tcW w:type="dxa" w:w="269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校验、合并、冻结和发布版本</w:t>
            </w:r>
          </w:p>
        </w:tc>
      </w:tr>
    </w:tbl>
    <w:p>
      <w:pPr>
        <w:spacing w:after="0"/>
      </w:pPr>
    </w:p>
    <w:p>
      <w:pPr>
        <w:pStyle w:val="Heading2"/>
      </w:pPr>
      <w:r>
        <w:t>执行顺序</w:t>
      </w:r>
    </w:p>
    <w:p>
      <w:pPr>
        <w:pStyle w:val="ListNumber"/>
        <w:numPr>
          <w:numId w:val="10"/>
        </w:numPr>
        <w:spacing w:after="80"/>
      </w:pPr>
      <w:r>
        <w:t>数据管理员分别发送 A、B 工作簿与本手册，并分配匿名研究员 ID。</w:t>
      </w:r>
    </w:p>
    <w:p>
      <w:pPr>
        <w:pStyle w:val="ListNumber"/>
        <w:numPr>
          <w:numId w:val="10"/>
        </w:numPr>
        <w:spacing w:after="80"/>
      </w:pPr>
      <w:r>
        <w:t>A、B 独立完成，过程中不得讨论具体样本或交换文件。</w:t>
      </w:r>
    </w:p>
    <w:p>
      <w:pPr>
        <w:pStyle w:val="ListNumber"/>
        <w:numPr>
          <w:numId w:val="10"/>
        </w:numPr>
        <w:spacing w:after="80"/>
      </w:pPr>
      <w:r>
        <w:t>回收后先做结构校验：行数、样本 ID、固定列、枚举、必填、时间与重复。</w:t>
      </w:r>
    </w:p>
    <w:p>
      <w:pPr>
        <w:pStyle w:val="ListNumber"/>
        <w:numPr>
          <w:numId w:val="10"/>
        </w:numPr>
        <w:spacing w:after="80"/>
      </w:pPr>
      <w:r>
        <w:t>自动生成分歧队列；任何核心标签不同、任一方置信度≤2、或存在数据问题均进入裁决。</w:t>
      </w:r>
    </w:p>
    <w:p>
      <w:pPr>
        <w:pStyle w:val="ListNumber"/>
        <w:numPr>
          <w:numId w:val="10"/>
        </w:numPr>
        <w:spacing w:after="80"/>
      </w:pPr>
      <w:r>
        <w:t>裁决完成后冻结 final-gold-v3，生成 SHA-256 清单；之后不得原位改写，只能升版本。</w:t>
      </w:r>
    </w:p>
    <w:p>
      <w:pPr>
        <w:pStyle w:val="Heading1"/>
      </w:pPr>
      <w:r>
        <w:t>3. 通用判断原则</w:t>
      </w:r>
    </w:p>
    <w:p>
      <w:pPr>
        <w:pStyle w:val="Heading2"/>
      </w:pPr>
      <w:r>
        <w:t>3.1 先读事实，再判断假设</w:t>
      </w:r>
    </w:p>
    <w:p>
      <w:pPr>
        <w:pStyle w:val="ListBullet"/>
        <w:spacing w:after="60"/>
      </w:pPr>
      <w:r>
        <w:t>标题只能用于筛选。标题读不出数字、比较基准或事件结果时，必须打开原文。</w:t>
      </w:r>
    </w:p>
    <w:p>
      <w:pPr>
        <w:pStyle w:val="ListBullet"/>
        <w:spacing w:after="60"/>
      </w:pPr>
      <w:r>
        <w:t>方向是相对 H1/H2/H3，不是股价方向、情绪、评级或交易动作。</w:t>
      </w:r>
    </w:p>
    <w:p>
      <w:pPr>
        <w:pStyle w:val="ListBullet"/>
        <w:spacing w:after="60"/>
      </w:pPr>
      <w:r>
        <w:t>若同一公告影响多个假设，事件语义表选择最直接、证据最充分的“主要关联假设”；其他关系会在 Graph RAG 关系表逐条评。</w:t>
      </w:r>
    </w:p>
    <w:p>
      <w:pPr>
        <w:pStyle w:val="ListBullet"/>
        <w:spacing w:after="60"/>
      </w:pPr>
      <w:r>
        <w:t>公开披露无法支持判断时选“信息不足”；不要用常识补齐公告没有给出的事实。</w:t>
      </w:r>
    </w:p>
    <w:p>
      <w:pPr>
        <w:pStyle w:val="Heading2"/>
      </w:pPr>
      <w:r>
        <w:t>3.2 相关、中性、无关与信息不足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70"/>
        <w:gridCol w:w="3510"/>
        <w:gridCol w:w="1521"/>
        <w:gridCol w:w="3159"/>
      </w:tblGrid>
      <w:tr>
        <w:trPr>
          <w:tblHeader w:val="true"/>
        </w:trPr>
        <w:tc>
          <w:tcPr>
            <w:tcW w:type="dxa" w:w="117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标签</w:t>
            </w:r>
          </w:p>
        </w:tc>
        <w:tc>
          <w:tcPr>
            <w:tcW w:type="dxa" w:w="351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1521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是否进入证据链</w:t>
            </w:r>
          </w:p>
        </w:tc>
        <w:tc>
          <w:tcPr>
            <w:tcW w:type="dxa" w:w="3159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典型情形</w:t>
            </w:r>
          </w:p>
        </w:tc>
      </w:tr>
      <w:tr>
        <w:trPr/>
        <w:tc>
          <w:tcPr>
            <w:tcW w:type="dxa" w:w="117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支持</w:t>
            </w:r>
          </w:p>
        </w:tc>
        <w:tc>
          <w:tcPr>
            <w:tcW w:type="dxa" w:w="351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证据提高该假设成立的可信度</w:t>
            </w:r>
          </w:p>
        </w:tc>
        <w:tc>
          <w:tcPr>
            <w:tcW w:type="dxa" w:w="1521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3159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交付量/收入/毛利率等核心指标改善且口径清楚</w:t>
            </w:r>
          </w:p>
        </w:tc>
      </w:tr>
      <w:tr>
        <w:trPr/>
        <w:tc>
          <w:tcPr>
            <w:tcW w:type="dxa" w:w="11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冲突</w:t>
            </w:r>
          </w:p>
        </w:tc>
        <w:tc>
          <w:tcPr>
            <w:tcW w:type="dxa" w:w="35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证据降低该假设成立的可信度</w:t>
            </w:r>
          </w:p>
        </w:tc>
        <w:tc>
          <w:tcPr>
            <w:tcW w:type="dxa" w:w="152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315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核心指标恶化、项目失败、产能减值或现金流明显承压</w:t>
            </w:r>
          </w:p>
        </w:tc>
      </w:tr>
      <w:tr>
        <w:trPr/>
        <w:tc>
          <w:tcPr>
            <w:tcW w:type="dxa" w:w="117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中性</w:t>
            </w:r>
          </w:p>
        </w:tc>
        <w:tc>
          <w:tcPr>
            <w:tcW w:type="dxa" w:w="351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与假设相关，但方向未定或正负因素抵消</w:t>
            </w:r>
          </w:p>
        </w:tc>
        <w:tc>
          <w:tcPr>
            <w:tcW w:type="dxa" w:w="1521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3159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仅披露进度，没有结果；好坏因素同时存在</w:t>
            </w:r>
          </w:p>
        </w:tc>
      </w:tr>
      <w:tr>
        <w:trPr/>
        <w:tc>
          <w:tcPr>
            <w:tcW w:type="dxa" w:w="11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无关</w:t>
            </w:r>
          </w:p>
        </w:tc>
        <w:tc>
          <w:tcPr>
            <w:tcW w:type="dxa" w:w="35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不改变任何核心假设</w:t>
            </w:r>
          </w:p>
        </w:tc>
        <w:tc>
          <w:tcPr>
            <w:tcW w:type="dxa" w:w="152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否</w:t>
            </w:r>
          </w:p>
        </w:tc>
        <w:tc>
          <w:tcPr>
            <w:tcW w:type="dxa" w:w="315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程式化公告、治理事项或无金额框架协议</w:t>
            </w:r>
          </w:p>
        </w:tc>
      </w:tr>
      <w:tr>
        <w:trPr/>
        <w:tc>
          <w:tcPr>
            <w:tcW w:type="dxa" w:w="117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信息不足</w:t>
            </w:r>
          </w:p>
        </w:tc>
        <w:tc>
          <w:tcPr>
            <w:tcW w:type="dxa" w:w="351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材料不可达或信息不足，无法作可靠判断</w:t>
            </w:r>
          </w:p>
        </w:tc>
        <w:tc>
          <w:tcPr>
            <w:tcW w:type="dxa" w:w="1521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待复核</w:t>
            </w:r>
          </w:p>
        </w:tc>
        <w:tc>
          <w:tcPr>
            <w:tcW w:type="dxa" w:w="3159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原文失效、扫描不可读、证券归属不明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521"/>
        <w:gridCol w:w="7839"/>
      </w:tblGrid>
      <w:tr>
        <w:trPr>
          <w:tblHeader w:val="true"/>
        </w:trPr>
        <w:tc>
          <w:tcPr>
            <w:tcW w:type="dxa" w:w="1521"/>
            <w:shd w:fill="2E74B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高频事件</w:t>
            </w:r>
          </w:p>
        </w:tc>
        <w:tc>
          <w:tcPr>
            <w:tcW w:type="dxa" w:w="7839"/>
            <w:shd w:fill="FFF2CC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高频不等于自动无关；但若单条事件没有新增结果、金额、阶段变化或可观测指标，通常不应进入核心证据链。</w:t>
            </w:r>
          </w:p>
        </w:tc>
      </w:tr>
    </w:tbl>
    <w:p>
      <w:pPr>
        <w:spacing w:after="0"/>
      </w:pPr>
    </w:p>
    <w:p>
      <w:pPr>
        <w:pStyle w:val="Heading1"/>
      </w:pPr>
      <w:r>
        <w:t>4. 事件语义任务（120 条）</w:t>
      </w:r>
    </w:p>
    <w:p>
      <w:r>
        <w:t>工作表：事件语义_120。灰色列不可改，浅黄色列由研究员填写。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5"/>
        <w:gridCol w:w="5850"/>
        <w:gridCol w:w="1755"/>
      </w:tblGrid>
      <w:tr>
        <w:trPr>
          <w:tblHeader w:val="true"/>
        </w:trPr>
        <w:tc>
          <w:tcPr>
            <w:tcW w:type="dxa" w:w="1755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585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填写规则</w:t>
            </w:r>
          </w:p>
        </w:tc>
        <w:tc>
          <w:tcPr>
            <w:tcW w:type="dxa" w:w="1755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必填/条件</w:t>
            </w:r>
          </w:p>
        </w:tc>
      </w:tr>
      <w:tr>
        <w:trPr/>
        <w:tc>
          <w:tcPr>
            <w:tcW w:type="dxa" w:w="175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事件摘要</w:t>
            </w:r>
          </w:p>
        </w:tc>
        <w:tc>
          <w:tcPr>
            <w:tcW w:type="dxa" w:w="58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用 1–2 句重述公告中已发生或已披露的事实，不写预测和建议。</w:t>
            </w:r>
          </w:p>
        </w:tc>
        <w:tc>
          <w:tcPr>
            <w:tcW w:type="dxa" w:w="175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必填</w:t>
            </w:r>
          </w:p>
        </w:tc>
      </w:tr>
      <w:tr>
        <w:trPr/>
        <w:tc>
          <w:tcPr>
            <w:tcW w:type="dxa" w:w="17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事件类别</w:t>
            </w:r>
          </w:p>
        </w:tc>
        <w:tc>
          <w:tcPr>
            <w:tcW w:type="dxa" w:w="5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按业务事实选一类；不是复现公告目录类型。</w:t>
            </w:r>
          </w:p>
        </w:tc>
        <w:tc>
          <w:tcPr>
            <w:tcW w:type="dxa" w:w="17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必填</w:t>
            </w:r>
          </w:p>
        </w:tc>
      </w:tr>
      <w:tr>
        <w:trPr/>
        <w:tc>
          <w:tcPr>
            <w:tcW w:type="dxa" w:w="175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主要关联假设</w:t>
            </w:r>
          </w:p>
        </w:tc>
        <w:tc>
          <w:tcPr>
            <w:tcW w:type="dxa" w:w="58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H1/H2/H3/无关/信息不足。</w:t>
            </w:r>
          </w:p>
        </w:tc>
        <w:tc>
          <w:tcPr>
            <w:tcW w:type="dxa" w:w="175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必填</w:t>
            </w:r>
          </w:p>
        </w:tc>
      </w:tr>
      <w:tr>
        <w:trPr/>
        <w:tc>
          <w:tcPr>
            <w:tcW w:type="dxa" w:w="17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影响方向</w:t>
            </w:r>
          </w:p>
        </w:tc>
        <w:tc>
          <w:tcPr>
            <w:tcW w:type="dxa" w:w="5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支持/冲突/中性/无关/信息不足；必须与主要关联假设一致。</w:t>
            </w:r>
          </w:p>
        </w:tc>
        <w:tc>
          <w:tcPr>
            <w:tcW w:type="dxa" w:w="17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必填</w:t>
            </w:r>
          </w:p>
        </w:tc>
      </w:tr>
      <w:tr>
        <w:trPr/>
        <w:tc>
          <w:tcPr>
            <w:tcW w:type="dxa" w:w="175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影响强度</w:t>
            </w:r>
          </w:p>
        </w:tc>
        <w:tc>
          <w:tcPr>
            <w:tcW w:type="dxa" w:w="58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高=可直接改变核心指标或失效判断；中=显著但需后续；低=弱信号。</w:t>
            </w:r>
          </w:p>
        </w:tc>
        <w:tc>
          <w:tcPr>
            <w:tcW w:type="dxa" w:w="175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必填</w:t>
            </w:r>
          </w:p>
        </w:tc>
      </w:tr>
      <w:tr>
        <w:trPr/>
        <w:tc>
          <w:tcPr>
            <w:tcW w:type="dxa" w:w="17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直接性</w:t>
            </w:r>
          </w:p>
        </w:tc>
        <w:tc>
          <w:tcPr>
            <w:tcW w:type="dxa" w:w="5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直接=公告事实直接观察假设；间接=需业务因果链推断。</w:t>
            </w:r>
          </w:p>
        </w:tc>
        <w:tc>
          <w:tcPr>
            <w:tcW w:type="dxa" w:w="17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必填</w:t>
            </w:r>
          </w:p>
        </w:tc>
      </w:tr>
      <w:tr>
        <w:trPr/>
        <w:tc>
          <w:tcPr>
            <w:tcW w:type="dxa" w:w="175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关键证据原文</w:t>
            </w:r>
          </w:p>
        </w:tc>
        <w:tc>
          <w:tcPr>
            <w:tcW w:type="dxa" w:w="58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建议摘录最短充分证据，并保留数值、口径和期间。</w:t>
            </w:r>
          </w:p>
        </w:tc>
        <w:tc>
          <w:tcPr>
            <w:tcW w:type="dxa" w:w="175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相关时必填</w:t>
            </w:r>
          </w:p>
        </w:tc>
      </w:tr>
      <w:tr>
        <w:trPr/>
        <w:tc>
          <w:tcPr>
            <w:tcW w:type="dxa" w:w="17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判断理由</w:t>
            </w:r>
          </w:p>
        </w:tc>
        <w:tc>
          <w:tcPr>
            <w:tcW w:type="dxa" w:w="5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说明证据如何影响哪条假设；建议 20–200 字。</w:t>
            </w:r>
          </w:p>
        </w:tc>
        <w:tc>
          <w:tcPr>
            <w:tcW w:type="dxa" w:w="17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必填</w:t>
            </w:r>
          </w:p>
        </w:tc>
      </w:tr>
      <w:tr>
        <w:trPr/>
        <w:tc>
          <w:tcPr>
            <w:tcW w:type="dxa" w:w="175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置信度</w:t>
            </w:r>
          </w:p>
        </w:tc>
        <w:tc>
          <w:tcPr>
            <w:tcW w:type="dxa" w:w="58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1=几乎无法判断；3=合理但有不确定；5=证据直接充分。</w:t>
            </w:r>
          </w:p>
        </w:tc>
        <w:tc>
          <w:tcPr>
            <w:tcW w:type="dxa" w:w="175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必填</w:t>
            </w:r>
          </w:p>
        </w:tc>
      </w:tr>
      <w:tr>
        <w:trPr/>
        <w:tc>
          <w:tcPr>
            <w:tcW w:type="dxa" w:w="17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数据问题</w:t>
            </w:r>
          </w:p>
        </w:tc>
        <w:tc>
          <w:tcPr>
            <w:tcW w:type="dxa" w:w="5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无/原文不可达/正文不可提取/疑似重复/时间不明确/证券归属存疑/其他。</w:t>
            </w:r>
          </w:p>
        </w:tc>
        <w:tc>
          <w:tcPr>
            <w:tcW w:type="dxa" w:w="17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必填</w:t>
            </w:r>
          </w:p>
        </w:tc>
      </w:tr>
    </w:tbl>
    <w:p>
      <w:pPr>
        <w:spacing w:after="0"/>
      </w:pPr>
    </w:p>
    <w:p>
      <w:pPr>
        <w:pStyle w:val="Heading2"/>
      </w:pPr>
      <w:r>
        <w:t>一致性约束</w:t>
      </w:r>
    </w:p>
    <w:p>
      <w:pPr>
        <w:pStyle w:val="ListBullet"/>
        <w:spacing w:after="60"/>
      </w:pPr>
      <w:r>
        <w:t>主要关联假设=无关 → 影响方向=无关，影响强度/直接性=不适用。</w:t>
      </w:r>
    </w:p>
    <w:p>
      <w:pPr>
        <w:pStyle w:val="ListBullet"/>
        <w:spacing w:after="60"/>
      </w:pPr>
      <w:r>
        <w:t>主要关联假设=信息不足 → 影响方向=信息不足；在数据问题中说明原因。</w:t>
      </w:r>
    </w:p>
    <w:p>
      <w:pPr>
        <w:pStyle w:val="ListBullet"/>
        <w:spacing w:after="60"/>
      </w:pPr>
      <w:r>
        <w:t>主要关联假设为 H1/H2/H3 → 方向不得为无关；关键证据原文原则上必填。</w:t>
      </w:r>
    </w:p>
    <w:p>
      <w:pPr>
        <w:pStyle w:val="ListBullet"/>
        <w:spacing w:after="60"/>
      </w:pPr>
      <w:r>
        <w:t>不得删除、复制或重排样本；不得改公司、代码、日期、标题、链接、核心观点和三条假设。</w:t>
      </w:r>
    </w:p>
    <w:p>
      <w:pPr>
        <w:pStyle w:val="Heading1"/>
      </w:pPr>
      <w:r>
        <w:t>5. 正文事实任务（60 条）</w:t>
      </w:r>
    </w:p>
    <w:p>
      <w:r>
        <w:t>工作表：正文事实_60。该任务直接补齐当前空白的 body_fact_gold，并检验系统是否能从正文识别数字、比较基准和发生期间。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5148"/>
        <w:gridCol w:w="2340"/>
      </w:tblGrid>
      <w:tr>
        <w:trPr>
          <w:tblHeader w:val="true"/>
        </w:trPr>
        <w:tc>
          <w:tcPr>
            <w:tcW w:type="dxa" w:w="1872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5148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234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示例格式</w:t>
            </w:r>
          </w:p>
        </w:tc>
      </w:tr>
      <w:tr>
        <w:trPr/>
        <w:tc>
          <w:tcPr>
            <w:tcW w:type="dxa" w:w="1872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正文定位</w:t>
            </w:r>
          </w:p>
        </w:tc>
        <w:tc>
          <w:tcPr>
            <w:tcW w:type="dxa" w:w="514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页码+段落/表格位置；扫描件可写图片页码。</w:t>
            </w:r>
          </w:p>
        </w:tc>
        <w:tc>
          <w:tcPr>
            <w:tcW w:type="dxa" w:w="234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第 3 页，第 2 段；表 1 第 4 行</w:t>
            </w:r>
          </w:p>
        </w:tc>
      </w:tr>
      <w:tr>
        <w:trPr/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正文片段</w:t>
            </w:r>
          </w:p>
        </w:tc>
        <w:tc>
          <w:tcPr>
            <w:tcW w:type="dxa" w:w="514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粘贴最短充分原文，保留上下文、数字、同比/环比和单位。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本月交付 30,350 辆，同比增长 268%</w:t>
            </w:r>
          </w:p>
        </w:tc>
      </w:tr>
      <w:tr>
        <w:trPr/>
        <w:tc>
          <w:tcPr>
            <w:tcW w:type="dxa" w:w="1872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是否存在可抽取事实</w:t>
            </w:r>
          </w:p>
        </w:tc>
        <w:tc>
          <w:tcPr>
            <w:tcW w:type="dxa" w:w="514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是/否/信息不足。标题暗示有数字但正文打不开时选信息不足。</w:t>
            </w:r>
          </w:p>
        </w:tc>
        <w:tc>
          <w:tcPr>
            <w:tcW w:type="dxa" w:w="234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是</w:t>
            </w:r>
          </w:p>
        </w:tc>
      </w:tr>
      <w:tr>
        <w:trPr/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事实类型</w:t>
            </w:r>
          </w:p>
        </w:tc>
        <w:tc>
          <w:tcPr>
            <w:tcW w:type="dxa" w:w="514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营业收入同比、销量或交付量同比、毛利率、产能利用率、资本开支、订单金额、其他。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销量或交付量同比</w:t>
            </w:r>
          </w:p>
        </w:tc>
      </w:tr>
      <w:tr>
        <w:trPr/>
        <w:tc>
          <w:tcPr>
            <w:tcW w:type="dxa" w:w="1872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变化方向</w:t>
            </w:r>
          </w:p>
        </w:tc>
        <w:tc>
          <w:tcPr>
            <w:tcW w:type="dxa" w:w="514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上升/下降/持平/无法判断/不适用。</w:t>
            </w:r>
          </w:p>
        </w:tc>
        <w:tc>
          <w:tcPr>
            <w:tcW w:type="dxa" w:w="234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上升</w:t>
            </w:r>
          </w:p>
        </w:tc>
      </w:tr>
      <w:tr>
        <w:trPr/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数值上下限</w:t>
            </w:r>
          </w:p>
        </w:tc>
        <w:tc>
          <w:tcPr>
            <w:tcW w:type="dxa" w:w="514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单点数值上下限相同；区间分别填写；未披露留空。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268 / 268</w:t>
            </w:r>
          </w:p>
        </w:tc>
      </w:tr>
      <w:tr>
        <w:trPr/>
        <w:tc>
          <w:tcPr>
            <w:tcW w:type="dxa" w:w="1872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单位</w:t>
            </w:r>
          </w:p>
        </w:tc>
        <w:tc>
          <w:tcPr>
            <w:tcW w:type="dxa" w:w="514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填写原文单位，不擅自换算。</w:t>
            </w:r>
          </w:p>
        </w:tc>
        <w:tc>
          <w:tcPr>
            <w:tcW w:type="dxa" w:w="234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% / 辆 / 亿元</w:t>
            </w:r>
          </w:p>
        </w:tc>
      </w:tr>
      <w:tr>
        <w:trPr/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事实发生期</w:t>
            </w:r>
          </w:p>
        </w:tc>
        <w:tc>
          <w:tcPr>
            <w:tcW w:type="dxa" w:w="514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事实对应的经营期间，不是公告披露日。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2025-01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521"/>
        <w:gridCol w:w="7839"/>
      </w:tblGrid>
      <w:tr>
        <w:trPr>
          <w:tblHeader w:val="true"/>
        </w:trPr>
        <w:tc>
          <w:tcPr>
            <w:tcW w:type="dxa" w:w="1521"/>
            <w:shd w:fill="2E74B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负样本必须保留</w:t>
            </w:r>
          </w:p>
        </w:tc>
        <w:tc>
          <w:tcPr>
            <w:tcW w:type="dxa" w:w="7839"/>
            <w:shd w:fill="FFF2CC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治理、程式化和无法提取数字的公告不是“浪费样本”。它们是事实抽取 Precision 的分母，用于测误抽取。</w:t>
            </w:r>
          </w:p>
        </w:tc>
      </w:tr>
    </w:tbl>
    <w:p>
      <w:pPr>
        <w:spacing w:after="0"/>
      </w:pPr>
    </w:p>
    <w:p>
      <w:pPr>
        <w:pStyle w:val="Heading1"/>
      </w:pPr>
      <w:r>
        <w:t>6. Graph RAG 相关性任务（180 对）</w:t>
      </w:r>
    </w:p>
    <w:p>
      <w:r>
        <w:t>工作表：GraphRAG相关性_180。每个关系样本由一条冻结投资假设和一份候选公告组成。系统的原排名、文本分数、图分数和旧标签均已隐藏。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21"/>
        <w:gridCol w:w="5499"/>
        <w:gridCol w:w="2340"/>
      </w:tblGrid>
      <w:tr>
        <w:trPr>
          <w:tblHeader w:val="true"/>
        </w:trPr>
        <w:tc>
          <w:tcPr>
            <w:tcW w:type="dxa" w:w="1521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5499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234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检索评测解释</w:t>
            </w:r>
          </w:p>
        </w:tc>
      </w:tr>
      <w:tr>
        <w:trPr/>
        <w:tc>
          <w:tcPr>
            <w:tcW w:type="dxa" w:w="1521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3-直接相关</w:t>
            </w:r>
          </w:p>
        </w:tc>
        <w:tc>
          <w:tcPr>
            <w:tcW w:type="dxa" w:w="5499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公告含可直接支持/冲突/观察该假设的事实，证据无需跨越额外业务前提。</w:t>
            </w:r>
          </w:p>
        </w:tc>
        <w:tc>
          <w:tcPr>
            <w:tcW w:type="dxa" w:w="234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高相关，NDCG 增益最高</w:t>
            </w:r>
          </w:p>
        </w:tc>
      </w:tr>
      <w:tr>
        <w:trPr/>
        <w:tc>
          <w:tcPr>
            <w:tcW w:type="dxa" w:w="152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2-间接相关</w:t>
            </w:r>
          </w:p>
        </w:tc>
        <w:tc>
          <w:tcPr>
            <w:tcW w:type="dxa" w:w="549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公告通过清晰业务因果链影响假设，但需一层解释。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相关，可进入证据链</w:t>
            </w:r>
          </w:p>
        </w:tc>
      </w:tr>
      <w:tr>
        <w:trPr/>
        <w:tc>
          <w:tcPr>
            <w:tcW w:type="dxa" w:w="1521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1-弱相关</w:t>
            </w:r>
          </w:p>
        </w:tc>
        <w:tc>
          <w:tcPr>
            <w:tcW w:type="dxa" w:w="5499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同主题或同公司，但对该假设增量信息很弱。</w:t>
            </w:r>
          </w:p>
        </w:tc>
        <w:tc>
          <w:tcPr>
            <w:tcW w:type="dxa" w:w="234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软相关，通常不应排在 Top-1</w:t>
            </w:r>
          </w:p>
        </w:tc>
      </w:tr>
      <w:tr>
        <w:trPr/>
        <w:tc>
          <w:tcPr>
            <w:tcW w:type="dxa" w:w="152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0-无关</w:t>
            </w:r>
          </w:p>
        </w:tc>
        <w:tc>
          <w:tcPr>
            <w:tcW w:type="dxa" w:w="549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不回答该假设，也不提供有效关系证据。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负样本</w:t>
            </w:r>
          </w:p>
        </w:tc>
      </w:tr>
      <w:tr>
        <w:trPr/>
        <w:tc>
          <w:tcPr>
            <w:tcW w:type="dxa" w:w="1521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9-信息不足</w:t>
            </w:r>
          </w:p>
        </w:tc>
        <w:tc>
          <w:tcPr>
            <w:tcW w:type="dxa" w:w="5499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原文不可达或材料不足，无法判断。</w:t>
            </w:r>
          </w:p>
        </w:tc>
        <w:tc>
          <w:tcPr>
            <w:tcW w:type="dxa" w:w="234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从主指标分母剔除并单报</w:t>
            </w:r>
          </w:p>
        </w:tc>
      </w:tr>
    </w:tbl>
    <w:p>
      <w:pPr>
        <w:spacing w:after="0"/>
      </w:pPr>
    </w:p>
    <w:p>
      <w:pPr>
        <w:pStyle w:val="Heading2"/>
      </w:pPr>
      <w:r>
        <w:t>关系路径可成立</w:t>
      </w:r>
    </w:p>
    <w:p>
      <w:pPr>
        <w:pStyle w:val="ListBullet"/>
        <w:spacing w:after="60"/>
      </w:pPr>
      <w:r>
        <w:t>是：可从该投资假设沿业务变量/指标/事实到公告原文建立不违反时间与语义的路径。</w:t>
      </w:r>
    </w:p>
    <w:p>
      <w:pPr>
        <w:pStyle w:val="ListBullet"/>
        <w:spacing w:after="60"/>
      </w:pPr>
      <w:r>
        <w:t>否：只有公司或词面重合，无法形成可信业务关系；或候选公告发生在检索截止时间之后。</w:t>
      </w:r>
    </w:p>
    <w:p>
      <w:pPr>
        <w:pStyle w:val="ListBullet"/>
        <w:spacing w:after="60"/>
      </w:pPr>
      <w:r>
        <w:t>信息不足：原文缺失、扫描不可读或关键主体不清。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521"/>
        <w:gridCol w:w="7839"/>
      </w:tblGrid>
      <w:tr>
        <w:trPr>
          <w:tblHeader w:val="true"/>
        </w:trPr>
        <w:tc>
          <w:tcPr>
            <w:tcW w:type="dxa" w:w="1521"/>
            <w:shd w:fill="2E74B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时间边界</w:t>
            </w:r>
          </w:p>
        </w:tc>
        <w:tc>
          <w:tcPr>
            <w:tcW w:type="dxa" w:w="7839"/>
            <w:shd w:fill="FFF2CC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判断只能使用“检索截止时间”之前已公开的信息。未来披露即使更相关，也不能让当前关系成立。</w:t>
            </w:r>
          </w:p>
        </w:tc>
      </w:tr>
    </w:tbl>
    <w:p>
      <w:pPr>
        <w:spacing w:after="0"/>
      </w:pPr>
    </w:p>
    <w:p>
      <w:pPr>
        <w:pStyle w:val="Heading1"/>
      </w:pPr>
      <w:r>
        <w:t>7. 分歧、裁决与最终金标</w:t>
      </w:r>
    </w:p>
    <w:p>
      <w:pPr>
        <w:pStyle w:val="Heading2"/>
      </w:pPr>
      <w:r>
        <w:t>7.1 自动进入裁决的条件</w:t>
      </w:r>
    </w:p>
    <w:p>
      <w:pPr>
        <w:pStyle w:val="ListBullet"/>
        <w:spacing w:after="60"/>
      </w:pPr>
      <w:r>
        <w:t>A/B 的任何核心标签不同：关联假设、方向、强度、直接性、事实类型、事实方向、相关性等级或路径可成立性。</w:t>
      </w:r>
    </w:p>
    <w:p>
      <w:pPr>
        <w:pStyle w:val="ListBullet"/>
        <w:spacing w:after="60"/>
      </w:pPr>
      <w:r>
        <w:t>任一标注员置信度≤2。</w:t>
      </w:r>
    </w:p>
    <w:p>
      <w:pPr>
        <w:pStyle w:val="ListBullet"/>
        <w:spacing w:after="60"/>
      </w:pPr>
      <w:r>
        <w:t>任一标注员的数据问题不是“无”。</w:t>
      </w:r>
    </w:p>
    <w:p>
      <w:pPr>
        <w:pStyle w:val="ListBullet"/>
        <w:spacing w:after="60"/>
      </w:pPr>
      <w:r>
        <w:t>证据原文、期间或证券归属存在明显冲突。</w:t>
      </w:r>
    </w:p>
    <w:p>
      <w:pPr>
        <w:pStyle w:val="Heading2"/>
      </w:pPr>
      <w:r>
        <w:t>7.2 裁决规则</w:t>
      </w:r>
    </w:p>
    <w:p>
      <w:pPr>
        <w:pStyle w:val="ListNumber"/>
        <w:numPr>
          <w:numId w:val="11"/>
        </w:numPr>
        <w:spacing w:after="80"/>
      </w:pPr>
      <w:r>
        <w:t>裁决员先看固定字段与原文，独立形成初步判断。</w:t>
      </w:r>
    </w:p>
    <w:p>
      <w:pPr>
        <w:pStyle w:val="ListNumber"/>
        <w:numPr>
          <w:numId w:val="11"/>
        </w:numPr>
        <w:spacing w:after="80"/>
      </w:pPr>
      <w:r>
        <w:t>再查看 A/B 结果与理由，确认差异来自口径、证据、时间还是录入错误。</w:t>
      </w:r>
    </w:p>
    <w:p>
      <w:pPr>
        <w:pStyle w:val="ListNumber"/>
        <w:numPr>
          <w:numId w:val="11"/>
        </w:numPr>
        <w:spacing w:after="80"/>
      </w:pPr>
      <w:r>
        <w:t>填写裁决结果和可复核理由，不覆盖 A/B 原始内容。</w:t>
      </w:r>
    </w:p>
    <w:p>
      <w:pPr>
        <w:pStyle w:val="ListNumber"/>
        <w:numPr>
          <w:numId w:val="11"/>
        </w:numPr>
        <w:spacing w:after="80"/>
      </w:pPr>
      <w:r>
        <w:t>若原文仍无法支持可靠结论，裁决为信息不足并记录数据问题。</w:t>
      </w:r>
    </w:p>
    <w:p>
      <w:pPr>
        <w:pStyle w:val="Heading2"/>
      </w:pPr>
      <w:r>
        <w:t>7.3 最终冻结条件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38"/>
        <w:gridCol w:w="7722"/>
      </w:tblGrid>
      <w:tr>
        <w:trPr>
          <w:tblHeader w:val="true"/>
        </w:trPr>
        <w:tc>
          <w:tcPr>
            <w:tcW w:type="dxa" w:w="1638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门槛</w:t>
            </w:r>
          </w:p>
        </w:tc>
        <w:tc>
          <w:tcPr>
            <w:tcW w:type="dxa" w:w="7722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要求</w:t>
            </w:r>
          </w:p>
        </w:tc>
      </w:tr>
      <w:tr>
        <w:trPr/>
        <w:tc>
          <w:tcPr>
            <w:tcW w:type="dxa" w:w="163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结构</w:t>
            </w:r>
          </w:p>
        </w:tc>
        <w:tc>
          <w:tcPr>
            <w:tcW w:type="dxa" w:w="7722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所有样本 ID 唯一，行数不变，固定字段与母表哈希一致</w:t>
            </w:r>
          </w:p>
        </w:tc>
      </w:tr>
      <w:tr>
        <w:trPr/>
        <w:tc>
          <w:tcPr>
            <w:tcW w:type="dxa" w:w="16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完整性</w:t>
            </w:r>
          </w:p>
        </w:tc>
        <w:tc>
          <w:tcPr>
            <w:tcW w:type="dxa" w:w="772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所有必填项完成；枚举、置信度和时间格式合法</w:t>
            </w:r>
          </w:p>
        </w:tc>
      </w:tr>
      <w:tr>
        <w:trPr/>
        <w:tc>
          <w:tcPr>
            <w:tcW w:type="dxa" w:w="163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双标</w:t>
            </w:r>
          </w:p>
        </w:tc>
        <w:tc>
          <w:tcPr>
            <w:tcW w:type="dxa" w:w="7722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A/B 对全部 360 个判断单元独立覆盖</w:t>
            </w:r>
          </w:p>
        </w:tc>
      </w:tr>
      <w:tr>
        <w:trPr/>
        <w:tc>
          <w:tcPr>
            <w:tcW w:type="dxa" w:w="16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一致性</w:t>
            </w:r>
          </w:p>
        </w:tc>
        <w:tc>
          <w:tcPr>
            <w:tcW w:type="dxa" w:w="772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报告原始一致率、Cohen κ/加权 κ；不只报告百分比</w:t>
            </w:r>
          </w:p>
        </w:tc>
      </w:tr>
      <w:tr>
        <w:trPr/>
        <w:tc>
          <w:tcPr>
            <w:tcW w:type="dxa" w:w="163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裁决</w:t>
            </w:r>
          </w:p>
        </w:tc>
        <w:tc>
          <w:tcPr>
            <w:tcW w:type="dxa" w:w="7722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全部差异和低置信样本完成裁决，保留原始标签</w:t>
            </w:r>
          </w:p>
        </w:tc>
      </w:tr>
      <w:tr>
        <w:trPr/>
        <w:tc>
          <w:tcPr>
            <w:tcW w:type="dxa" w:w="16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版本</w:t>
            </w:r>
          </w:p>
        </w:tc>
        <w:tc>
          <w:tcPr>
            <w:tcW w:type="dxa" w:w="772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生成版本号、冻结时间、研究员匿名 ID、样本哈希和文件 SHA-256</w:t>
            </w:r>
          </w:p>
        </w:tc>
      </w:tr>
    </w:tbl>
    <w:p>
      <w:pPr>
        <w:spacing w:after="0"/>
      </w:pPr>
    </w:p>
    <w:p>
      <w:pPr>
        <w:pStyle w:val="Heading1"/>
      </w:pPr>
      <w:r>
        <w:t>8. 回收验收与文件命名</w:t>
      </w:r>
    </w:p>
    <w:p>
      <w:pPr>
        <w:pStyle w:val="Heading2"/>
      </w:pPr>
      <w:r>
        <w:t>标注员回收文件</w:t>
      </w:r>
    </w:p>
    <w:p>
      <w:pPr>
        <w:pStyle w:val="ListBullet"/>
        <w:spacing w:after="60"/>
      </w:pPr>
      <w:r>
        <w:t>annotator_A_completed_研究员ID_YYYYMMDD.xlsx</w:t>
      </w:r>
    </w:p>
    <w:p>
      <w:pPr>
        <w:pStyle w:val="ListBullet"/>
        <w:spacing w:after="60"/>
      </w:pPr>
      <w:r>
        <w:t>annotator_B_completed_研究员ID_YYYYMMDD.xlsx</w:t>
      </w:r>
    </w:p>
    <w:p>
      <w:pPr>
        <w:pStyle w:val="ListBullet"/>
        <w:spacing w:after="60"/>
      </w:pPr>
      <w:r>
        <w:t>不得另存为旧版 .xls，不得拆表、合并单元格、重命名工作表或复制整列。</w:t>
      </w:r>
    </w:p>
    <w:p>
      <w:pPr>
        <w:pStyle w:val="Heading2"/>
      </w:pPr>
      <w:r>
        <w:t>回收前自检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7488"/>
      </w:tblGrid>
      <w:tr>
        <w:trPr>
          <w:tblHeader w:val="true"/>
        </w:trPr>
        <w:tc>
          <w:tcPr>
            <w:tcW w:type="dxa" w:w="1872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检查</w:t>
            </w:r>
          </w:p>
        </w:tc>
        <w:tc>
          <w:tcPr>
            <w:tcW w:type="dxa" w:w="7488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通过标准</w:t>
            </w:r>
          </w:p>
        </w:tc>
      </w:tr>
      <w:tr>
        <w:trPr/>
        <w:tc>
          <w:tcPr>
            <w:tcW w:type="dxa" w:w="1872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进度页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事件语义 120/120、正文事实 60/60、Graph RAG 180/180，总体 100%</w:t>
            </w:r>
          </w:p>
        </w:tc>
      </w:tr>
      <w:tr>
        <w:trPr/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固定列</w:t>
            </w:r>
          </w:p>
        </w:tc>
        <w:tc>
          <w:tcPr>
            <w:tcW w:type="dxa" w:w="74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公司、代码、日期、标题、链接、核心观点、H1/H2/H3 未修改</w:t>
            </w:r>
          </w:p>
        </w:tc>
      </w:tr>
      <w:tr>
        <w:trPr/>
        <w:tc>
          <w:tcPr>
            <w:tcW w:type="dxa" w:w="1872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原文证据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相关样本尽量给出关键证据；正文事实必须给定位和片段</w:t>
            </w:r>
          </w:p>
        </w:tc>
      </w:tr>
      <w:tr>
        <w:trPr/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时间</w:t>
            </w:r>
          </w:p>
        </w:tc>
        <w:tc>
          <w:tcPr>
            <w:tcW w:type="dxa" w:w="74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使用 ISO 8601，如 2026-08-27T14:30:00+08:00</w:t>
            </w:r>
          </w:p>
        </w:tc>
      </w:tr>
      <w:tr>
        <w:trPr/>
        <w:tc>
          <w:tcPr>
            <w:tcW w:type="dxa" w:w="1872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独立性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未查看另一标注员文件、既有金标或模型输出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521"/>
        <w:gridCol w:w="7839"/>
      </w:tblGrid>
      <w:tr>
        <w:trPr>
          <w:tblHeader w:val="true"/>
        </w:trPr>
        <w:tc>
          <w:tcPr>
            <w:tcW w:type="dxa" w:w="1521"/>
            <w:shd w:fill="2E74B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出现问题时</w:t>
            </w:r>
          </w:p>
        </w:tc>
        <w:tc>
          <w:tcPr>
            <w:tcW w:type="dxa" w:w="7839"/>
            <w:shd w:fill="FFF2CC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原文打不开或字段疑似错误，不要改固定列。选择“信息不足”，在“数据问题”中标记，并在理由中写明。</w:t>
            </w:r>
          </w:p>
        </w:tc>
      </w:tr>
    </w:tbl>
    <w:p>
      <w:pPr>
        <w:spacing w:after="0"/>
      </w:pPr>
    </w:p>
    <w:p>
      <w:pPr>
        <w:pStyle w:val="Heading1"/>
      </w:pPr>
      <w:r>
        <w:t>9. 标注结果将如何被使用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38"/>
        <w:gridCol w:w="3627"/>
        <w:gridCol w:w="4095"/>
      </w:tblGrid>
      <w:tr>
        <w:trPr>
          <w:tblHeader w:val="true"/>
        </w:trPr>
        <w:tc>
          <w:tcPr>
            <w:tcW w:type="dxa" w:w="1638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评测对象</w:t>
            </w:r>
          </w:p>
        </w:tc>
        <w:tc>
          <w:tcPr>
            <w:tcW w:type="dxa" w:w="3627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主要指标</w:t>
            </w:r>
          </w:p>
        </w:tc>
        <w:tc>
          <w:tcPr>
            <w:tcW w:type="dxa" w:w="4095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解释边界</w:t>
            </w:r>
          </w:p>
        </w:tc>
      </w:tr>
      <w:tr>
        <w:trPr/>
        <w:tc>
          <w:tcPr>
            <w:tcW w:type="dxa" w:w="163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事件筛选</w:t>
            </w:r>
          </w:p>
        </w:tc>
        <w:tc>
          <w:tcPr>
            <w:tcW w:type="dxa" w:w="3627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Precision、Recall、F1、无关提醒率</w:t>
            </w:r>
          </w:p>
        </w:tc>
        <w:tc>
          <w:tcPr>
            <w:tcW w:type="dxa" w:w="409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同时保留噪音样本，不能只看准确率</w:t>
            </w:r>
          </w:p>
        </w:tc>
      </w:tr>
      <w:tr>
        <w:trPr/>
        <w:tc>
          <w:tcPr>
            <w:tcW w:type="dxa" w:w="16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假设与方向</w:t>
            </w:r>
          </w:p>
        </w:tc>
        <w:tc>
          <w:tcPr>
            <w:tcW w:type="dxa" w:w="362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假设匹配率、宏 F1、方向准确率、Cohen κ</w:t>
            </w:r>
          </w:p>
        </w:tc>
        <w:tc>
          <w:tcPr>
            <w:tcW w:type="dxa" w:w="409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方向只在共同相关/可评样本上报告，并给分母</w:t>
            </w:r>
          </w:p>
        </w:tc>
      </w:tr>
      <w:tr>
        <w:trPr/>
        <w:tc>
          <w:tcPr>
            <w:tcW w:type="dxa" w:w="163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正文事实</w:t>
            </w:r>
          </w:p>
        </w:tc>
        <w:tc>
          <w:tcPr>
            <w:tcW w:type="dxa" w:w="3627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抽取 P/R/F1、类型/方向准确率、数值区间命中</w:t>
            </w:r>
          </w:p>
        </w:tc>
        <w:tc>
          <w:tcPr>
            <w:tcW w:type="dxa" w:w="409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负样本与不可读样本分开报告</w:t>
            </w:r>
          </w:p>
        </w:tc>
      </w:tr>
      <w:tr>
        <w:trPr/>
        <w:tc>
          <w:tcPr>
            <w:tcW w:type="dxa" w:w="16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Graph RAG</w:t>
            </w:r>
          </w:p>
        </w:tc>
        <w:tc>
          <w:tcPr>
            <w:tcW w:type="dxa" w:w="362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Recall@1/5/10、MRR、NDCG@K、Top-1 引用、路径正确率</w:t>
            </w:r>
          </w:p>
        </w:tc>
        <w:tc>
          <w:tcPr>
            <w:tcW w:type="dxa" w:w="409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同时报告越权数和未来信息泄漏数</w:t>
            </w:r>
          </w:p>
        </w:tc>
      </w:tr>
      <w:tr>
        <w:trPr/>
        <w:tc>
          <w:tcPr>
            <w:tcW w:type="dxa" w:w="163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量化模块</w:t>
            </w:r>
          </w:p>
        </w:tc>
        <w:tc>
          <w:tcPr>
            <w:tcW w:type="dxa" w:w="3627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收益、超额收益、回撤、换手、覆盖率</w:t>
            </w:r>
          </w:p>
        </w:tc>
        <w:tc>
          <w:tcPr>
            <w:tcW w:type="dxa" w:w="4095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不把回测收益解释为语义标签正确率</w:t>
            </w:r>
          </w:p>
        </w:tc>
      </w:tr>
    </w:tbl>
    <w:p>
      <w:pPr>
        <w:spacing w:after="0"/>
      </w:pPr>
    </w:p>
    <w:p>
      <w:r>
        <w:t>最终对外报告必须写清：金标版本、样本规模、双标覆盖、裁决比例、可评样本分母、置信区间与已知偏差。不能用单人标签或代理规则结果宣称模型已经达到生产效果门槛。</w:t>
      </w:r>
    </w:p>
    <w:p>
      <w:pPr>
        <w:pStyle w:val="Heading1"/>
      </w:pPr>
      <w:r>
        <w:t>附录 A：快速决策树</w:t>
      </w:r>
    </w:p>
    <w:p>
      <w:pPr>
        <w:pStyle w:val="ListNumber"/>
        <w:numPr>
          <w:numId w:val="12"/>
        </w:numPr>
        <w:spacing w:after="80"/>
      </w:pPr>
      <w:r>
        <w:t>原文是否可读、主体是否明确？否 → 信息不足并标记数据问题。</w:t>
      </w:r>
    </w:p>
    <w:p>
      <w:pPr>
        <w:pStyle w:val="ListNumber"/>
        <w:numPr>
          <w:numId w:val="12"/>
        </w:numPr>
        <w:spacing w:after="80"/>
      </w:pPr>
      <w:r>
        <w:t>公告是否提供新增事实，而非纯流程或重复披露？否 → 通常无关。</w:t>
      </w:r>
    </w:p>
    <w:p>
      <w:pPr>
        <w:pStyle w:val="ListNumber"/>
        <w:numPr>
          <w:numId w:val="12"/>
        </w:numPr>
        <w:spacing w:after="80"/>
      </w:pPr>
      <w:r>
        <w:t>新增事实是否改变 H1/H2/H3 的可观测指标或可信度？否 → 无关；仅同主题 → Graph 相关性 1。</w:t>
      </w:r>
    </w:p>
    <w:p>
      <w:pPr>
        <w:pStyle w:val="ListNumber"/>
        <w:numPr>
          <w:numId w:val="12"/>
        </w:numPr>
        <w:spacing w:after="80"/>
      </w:pPr>
      <w:r>
        <w:t>能够明确提高/降低假设可信度？是 → 支持/冲突；不能 → 中性。</w:t>
      </w:r>
    </w:p>
    <w:p>
      <w:pPr>
        <w:pStyle w:val="ListNumber"/>
        <w:numPr>
          <w:numId w:val="12"/>
        </w:numPr>
        <w:spacing w:after="80"/>
      </w:pPr>
      <w:r>
        <w:t>关系是否直接由公告观察到？是 → 直接；需要清晰因果链 → 间接。</w:t>
      </w:r>
    </w:p>
    <w:p>
      <w:pPr>
        <w:pStyle w:val="ListNumber"/>
        <w:numPr>
          <w:numId w:val="12"/>
        </w:numPr>
        <w:spacing w:after="80"/>
      </w:pPr>
      <w:r>
        <w:t>最后记录最短充分证据、理由、置信度与数据问题。</w:t>
      </w:r>
    </w:p>
    <w:p>
      <w:pPr>
        <w:pStyle w:val="Heading2"/>
      </w:pPr>
      <w:r>
        <w:t>附录 B：禁止泄漏字段</w:t>
      </w:r>
    </w:p>
    <w:p>
      <w:r>
        <w:t>标注员文件中不得出现：sampling_category、dataset_split、annotator_a/b_*、candidate_direction、proxy_gold_direction、model_output、retrieval_rank、retrieval_score，以及由现有规则或模型生成的解释。数据管理员只在内部母表保存抽样与版本字段。</w:t>
      </w:r>
    </w:p>
    <w:p>
      <w:pPr>
        <w:pStyle w:val="Heading2"/>
      </w:pPr>
      <w:r>
        <w:t>附录 C：版本信息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7488"/>
      </w:tblGrid>
      <w:tr>
        <w:trPr>
          <w:tblHeader w:val="true"/>
        </w:trPr>
        <w:tc>
          <w:tcPr>
            <w:tcW w:type="dxa" w:w="1872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488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值</w:t>
            </w:r>
          </w:p>
        </w:tc>
      </w:tr>
      <w:tr>
        <w:trPr/>
        <w:tc>
          <w:tcPr>
            <w:tcW w:type="dxa" w:w="1872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包版本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independent-gold-v3-20260826</w:t>
            </w:r>
          </w:p>
        </w:tc>
      </w:tr>
      <w:tr>
        <w:trPr/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抽样种子</w:t>
            </w:r>
          </w:p>
        </w:tc>
        <w:tc>
          <w:tcPr>
            <w:tcW w:type="dxa" w:w="74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20260826</w:t>
            </w:r>
          </w:p>
        </w:tc>
      </w:tr>
      <w:tr>
        <w:trPr/>
        <w:tc>
          <w:tcPr>
            <w:tcW w:type="dxa" w:w="1872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事件总体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real_data/dataset/events.csv，共 3,784 条</w:t>
            </w:r>
          </w:p>
        </w:tc>
      </w:tr>
      <w:tr>
        <w:trPr/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本轮事件</w:t>
            </w:r>
          </w:p>
        </w:tc>
        <w:tc>
          <w:tcPr>
            <w:tcW w:type="dxa" w:w="74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120 条；样本外 61、样本内 59</w:t>
            </w:r>
          </w:p>
        </w:tc>
      </w:tr>
      <w:tr>
        <w:trPr/>
        <w:tc>
          <w:tcPr>
            <w:tcW w:type="dxa" w:w="1872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覆盖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芯片半导体 39、医药 43、新能源汽车 38</w:t>
            </w:r>
          </w:p>
        </w:tc>
      </w:tr>
      <w:tr>
        <w:trPr/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冻结清单</w:t>
            </w:r>
          </w:p>
        </w:tc>
        <w:tc>
          <w:tcPr>
            <w:tcW w:type="dxa" w:w="74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manifest.json（SHA-256）</w:t>
            </w:r>
          </w:p>
        </w:tc>
      </w:tr>
      <w:tr>
        <w:trPr/>
        <w:tc>
          <w:tcPr>
            <w:tcW w:type="dxa" w:w="1872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契约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gold_contract_v3.json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仅供独立盲标与质量评测使用  ·  v3.0  ·  </w:t>
    </w: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4680"/>
      <w:gridCol w:w="4680"/>
    </w:tblGrid>
    <w:tr>
      <w:trPr>
        <w:tblHeader w:val="true"/>
      </w:trPr>
      <w:tc>
        <w:tcPr>
          <w:tcW w:type="dxa" w:w="4680"/>
          <w:vAlign w:val="center"/>
          <w:tcMar>
            <w:top w:w="0" w:type="dxa"/>
            <w:bottom w:w="20" w:type="dxa"/>
            <w:start w:w="0" w:type="dxa"/>
            <w:end w:w="0" w:type="dxa"/>
          </w:tcMar>
        </w:tcPr>
        <w:p>
          <w:pPr>
            <w:spacing w:after="0" w:before="0"/>
          </w:pPr>
          <w:r/>
          <w:r>
            <w:rPr>
              <w:rFonts w:ascii="Calibri" w:hAnsi="Calibri"/>
              <w:b/>
              <w:color w:val="17365D"/>
              <w:sz w:val="19"/>
            </w:rPr>
            <w:t>AI Investment Copilot</w:t>
          </w:r>
        </w:p>
      </w:tc>
      <w:tc>
        <w:tcPr>
          <w:tcW w:type="dxa" w:w="4680"/>
          <w:vAlign w:val="center"/>
          <w:tcMar>
            <w:top w:w="0" w:type="dxa"/>
            <w:bottom w:w="20" w:type="dxa"/>
            <w:start w:w="0" w:type="dxa"/>
            <w:end w:w="0" w:type="dxa"/>
          </w:tcMar>
        </w:tcPr>
        <w:p>
          <w:pPr>
            <w:spacing w:after="0" w:before="0"/>
            <w:jc w:val="right"/>
          </w:pPr>
          <w:r/>
          <w:r>
            <w:rPr>
              <w:rFonts w:ascii="Calibri" w:hAnsi="Calibri"/>
              <w:b/>
              <w:color w:val="5B6573"/>
              <w:sz w:val="19"/>
            </w:rPr>
            <w:t>独立金标 v3 · 标注手册</w:t>
          </w:r>
        </w:p>
      </w:tc>
    </w:tr>
  </w:tbl>
  <w:p>
    <w:pPr>
      <w:spacing w:after="0"/>
      <w:pBdr>
        <w:bottom w:val="single" w:sz="14" w:space="1" w:color="2E74B5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Subtitle">
    <w:name w:val="Cover Subtitle"/>
    <w:pPr>
      <w:spacing w:after="200"/>
    </w:pPr>
    <w:rPr>
      <w:rFonts w:ascii="Calibri" w:hAnsi="Calibri"/>
      <w:color w:val="5B6573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