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373759524"/>
        <w:docPartObj>
          <w:docPartGallery w:val="Cover Pages"/>
          <w:docPartUnique/>
        </w:docPartObj>
      </w:sdtPr>
      <w:sdtEndPr>
        <w:rPr>
          <w:b w:val="0"/>
        </w:rPr>
      </w:sdtEndPr>
      <w:sdtContent>
        <w:p w:rsidR="006061E5" w:rsidRDefault="001D4B06" w:rsidP="00721064">
          <w:r>
            <w:rPr>
              <w:noProof/>
              <w:lang w:eastAsia="de-DE"/>
            </w:rPr>
            <mc:AlternateContent>
              <mc:Choice Requires="wps">
                <w:drawing>
                  <wp:anchor distT="0" distB="0" distL="114300" distR="114300" simplePos="0" relativeHeight="251657216" behindDoc="1" locked="0" layoutInCell="1" allowOverlap="1">
                    <wp:simplePos x="0" y="0"/>
                    <wp:positionH relativeFrom="page">
                      <wp:posOffset>151130</wp:posOffset>
                    </wp:positionH>
                    <wp:positionV relativeFrom="page">
                      <wp:posOffset>213995</wp:posOffset>
                    </wp:positionV>
                    <wp:extent cx="5215890" cy="10259060"/>
                    <wp:effectExtent l="0" t="0" r="3175" b="3810"/>
                    <wp:wrapNone/>
                    <wp:docPr id="9"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5890" cy="10259060"/>
                            </a:xfrm>
                            <a:prstGeom prst="rect">
                              <a:avLst/>
                            </a:prstGeom>
                            <a:gradFill flip="none" rotWithShape="1">
                              <a:gsLst>
                                <a:gs pos="0">
                                  <a:schemeClr val="accent3">
                                    <a:lumMod val="67000"/>
                                  </a:schemeClr>
                                </a:gs>
                                <a:gs pos="25000">
                                  <a:schemeClr val="accent3">
                                    <a:lumMod val="97000"/>
                                    <a:lumOff val="3000"/>
                                  </a:schemeClr>
                                </a:gs>
                                <a:gs pos="52000">
                                  <a:schemeClr val="accent3">
                                    <a:lumMod val="60000"/>
                                    <a:lumOff val="40000"/>
                                  </a:schemeClr>
                                </a:gs>
                              </a:gsLst>
                              <a:lin ang="16200000" scaled="1"/>
                              <a:tileRect/>
                            </a:gradFill>
                            <a:ln>
                              <a:noFill/>
                            </a:ln>
                            <a:extLst/>
                          </wps:spPr>
                          <wps:txbx>
                            <w:txbxContent>
                              <w:sdt>
                                <w:sdtPr>
                                  <w:rPr>
                                    <w:caps/>
                                    <w:sz w:val="80"/>
                                    <w:szCs w:val="80"/>
                                  </w:rPr>
                                  <w:alias w:val="Titel"/>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rsidR="00C02512" w:rsidRDefault="001D4B06">
                                    <w:pPr>
                                      <w:pStyle w:val="Titel"/>
                                    </w:pPr>
                                    <w:r>
                                      <w:t>Myelodysplastische Syndrome</w:t>
                                    </w:r>
                                  </w:p>
                                </w:sdtContent>
                              </w:sdt>
                              <w:p w:rsidR="00C02512" w:rsidRDefault="001D4B06">
                                <w:pPr>
                                  <w:pStyle w:val="Metadaten"/>
                                </w:pPr>
                                <w:r>
                                  <w:t>Sprache: German</w:t>
                                </w:r>
                              </w:p>
                              <w:p w:rsidR="00C02512" w:rsidRDefault="001D4B06">
                                <w:pPr>
                                  <w:pStyle w:val="Metadaten"/>
                                </w:pPr>
                                <w:r>
                                  <w:t>Bereich: Onkopedia</w:t>
                                </w:r>
                              </w:p>
                              <w:p w:rsidR="00C02512" w:rsidRDefault="001D4B06">
                                <w:pPr>
                                  <w:pStyle w:val="Metadaten"/>
                                </w:pPr>
                                <w:r>
                                  <w:t>Klassifizierung: ONKOPEDIA::Hematological Malignancies</w:t>
                                </w:r>
                              </w:p>
                              <w:p w:rsidR="00C02512" w:rsidRDefault="001D4B06">
                                <w:pPr>
                                  <w:pStyle w:val="Metadaten"/>
                                </w:pPr>
                                <w:r>
                                  <w:t>Fachgesellschaften: DGHO OeGHO SGHSSH</w:t>
                                </w:r>
                              </w:p>
                              <w:p w:rsidR="00C02512" w:rsidRDefault="001D4B06">
                                <w:pPr>
                                  <w:pStyle w:val="Metadaten"/>
                                </w:pPr>
                                <w:r>
                                  <w:t>Stand: 03/2016</w:t>
                                </w:r>
                              </w:p>
                              <w:p w:rsidR="00C02512" w:rsidRDefault="001D4B06">
                                <w:pPr>
                                  <w:pStyle w:val="Metadaten"/>
                                </w:pPr>
                                <w:r>
                                  <w:t>DokumentTyp: Guideline</w:t>
                                </w:r>
                              </w:p>
                              <w:p w:rsidR="00C02512" w:rsidRDefault="001D4B06">
                                <w:pPr>
                                  <w:pStyle w:val="Metadaten"/>
                                </w:pPr>
                                <w:r>
                                  <w:t>LLThema: Myelodysplastische Syndrome (MDS)</w:t>
                                </w:r>
                              </w:p>
                              <w:p w:rsidR="00C02512" w:rsidRDefault="001D4B06">
                                <w:pPr>
                                  <w:pStyle w:val="Metadaten"/>
                                </w:pPr>
                                <w:r>
                                  <w:t>Konvertierung am: 18.03.2016 16:56</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eck 16" o:spid="_x0000_s1026" style="position:absolute;margin-left:11.9pt;margin-top:16.85pt;width:410.7pt;height:807.8pt;z-index:-251659264;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" fillcolor="#375523 [2150]" stroked="f">
                    <v:fill color2="#93c573 [1942]" rotate="t" angle="180" colors="0 #385624;.25 #578838;34079f #94c674" focus="100%" type="gradient"/>
                    <v:path arrowok="t"/>
                    <v:textbox inset="21.6pt,1in,21.6pt">
                      <w:txbxContent>
                        <w:sdt>
                          <w:sdtPr>
                            <w:rPr>
                              <w:caps/>
                              <w:sz w:val="80"/>
                              <w:szCs w:val="80"/>
                            </w:rPr>
                            <w:alias w:val="Titel"/>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rsidR="00C02512" w:rsidRDefault="001D4B06">
                              <w:pPr>
                                <w:pStyle w:val="Titel"/>
                              </w:pPr>
                              <w:r>
                                <w:t>Myelodysplastische Syndrome</w:t>
                              </w:r>
                            </w:p>
                          </w:sdtContent>
                        </w:sdt>
                        <w:p w:rsidR="00C02512" w:rsidRDefault="001D4B06">
                          <w:pPr>
                            <w:pStyle w:val="Metadaten"/>
                          </w:pPr>
                          <w:r>
                            <w:t>Sprache: German</w:t>
                          </w:r>
                        </w:p>
                        <w:p w:rsidR="00C02512" w:rsidRDefault="001D4B06">
                          <w:pPr>
                            <w:pStyle w:val="Metadaten"/>
                          </w:pPr>
                          <w:r>
                            <w:t>Bereich: Onkopedia</w:t>
                          </w:r>
                        </w:p>
                        <w:p w:rsidR="00C02512" w:rsidRDefault="001D4B06">
                          <w:pPr>
                            <w:pStyle w:val="Metadaten"/>
                          </w:pPr>
                          <w:r>
                            <w:t>Klassifizierung: ONKOPEDIA::Hematological Malignancies</w:t>
                          </w:r>
                        </w:p>
                        <w:p w:rsidR="00C02512" w:rsidRDefault="001D4B06">
                          <w:pPr>
                            <w:pStyle w:val="Metadaten"/>
                          </w:pPr>
                          <w:r>
                            <w:t>Fachgesellschaften: DGHO OeGHO SGHSSH</w:t>
                          </w:r>
                        </w:p>
                        <w:p w:rsidR="00C02512" w:rsidRDefault="001D4B06">
                          <w:pPr>
                            <w:pStyle w:val="Metadaten"/>
                          </w:pPr>
                          <w:r>
                            <w:t>Stand: 03/2016</w:t>
                          </w:r>
                        </w:p>
                        <w:p w:rsidR="00C02512" w:rsidRDefault="001D4B06">
                          <w:pPr>
                            <w:pStyle w:val="Metadaten"/>
                          </w:pPr>
                          <w:r>
                            <w:t>DokumentTyp: Guideline</w:t>
                          </w:r>
                        </w:p>
                        <w:p w:rsidR="00C02512" w:rsidRDefault="001D4B06">
                          <w:pPr>
                            <w:pStyle w:val="Metadaten"/>
                          </w:pPr>
                          <w:r>
                            <w:t>LLThema: Myelodysplastische Syndrome (MDS)</w:t>
                          </w:r>
                        </w:p>
                        <w:p w:rsidR="00C02512" w:rsidRDefault="001D4B06">
                          <w:pPr>
                            <w:pStyle w:val="Metadaten"/>
                          </w:pPr>
                          <w:r>
                            <w:t>Konvertierung am: 18.03.2016 16:56</w:t>
                          </w:r>
                        </w:p>
                      </w:txbxContent>
                    </v:textbox>
                    <w10:wrap anchorx="page" anchory="page"/>
                  </v:rect>
                </w:pict>
              </mc:Fallback>
            </mc:AlternateContent>
          </w:r>
          <w:r>
            <w:rPr>
              <w:noProof/>
              <w:lang w:eastAsia="de-DE"/>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9435" cy="10261600"/>
                    <wp:effectExtent l="0" t="0" r="0" b="3810"/>
                    <wp:wrapNone/>
                    <wp:docPr id="8"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261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2512" w:rsidRDefault="001D4B06">
                                <w:pPr>
                                  <w:pStyle w:val="LLAutoren-berschrift"/>
                                </w:pPr>
                                <w:r>
                                  <w:t>Autoren</w:t>
                                </w:r>
                              </w:p>
                              <w:p w:rsidR="00C02512" w:rsidRDefault="001D4B06">
                                <w:pPr>
                                  <w:pStyle w:val="LL-Autoren"/>
                                </w:pPr>
                                <w:r>
                                  <w:t>Hofmann, Wolf-Karsten</w:t>
                                </w:r>
                              </w:p>
                              <w:p w:rsidR="00C02512" w:rsidRDefault="001D4B06">
                                <w:pPr>
                                  <w:pStyle w:val="LL-Autoren"/>
                                </w:pPr>
                                <w:r>
                                  <w:t>Germing, Ulrich</w:t>
                                </w:r>
                              </w:p>
                              <w:p w:rsidR="00C02512" w:rsidRDefault="001D4B06">
                                <w:pPr>
                                  <w:pStyle w:val="LL-Autoren"/>
                                </w:pPr>
                                <w:r>
                                  <w:t>Götze, Katharina</w:t>
                                </w:r>
                              </w:p>
                              <w:p w:rsidR="00C02512" w:rsidRDefault="001D4B06">
                                <w:pPr>
                                  <w:pStyle w:val="LL-Autoren"/>
                                </w:pPr>
                                <w:r>
                                  <w:t>Passweg, Jakob</w:t>
                                </w:r>
                              </w:p>
                              <w:p w:rsidR="00C02512" w:rsidRDefault="001D4B06">
                                <w:pPr>
                                  <w:pStyle w:val="LL-Autoren"/>
                                </w:pPr>
                                <w:r>
                                  <w:t>Platzbecker, Uwe</w:t>
                                </w:r>
                              </w:p>
                              <w:p w:rsidR="00C02512" w:rsidRDefault="001D4B06">
                                <w:pPr>
                                  <w:pStyle w:val="LL-Autoren"/>
                                </w:pPr>
                                <w:r>
                                  <w:t>Stauder, Reinhard</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72" o:spid="_x0000_s1027" style="position:absolute;margin-left:0;margin-top:0;width:144.05pt;height:808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" fillcolor="#e7e6e6 [3214]" stroked="f" strokeweight="1pt">
                    <v:path arrowok="t"/>
                    <v:textbox inset="14.4pt,,14.4pt">
                      <w:txbxContent>
                        <w:p w:rsidR="00C02512" w:rsidRDefault="001D4B06">
                          <w:pPr>
                            <w:pStyle w:val="LLAutoren-berschrift"/>
                          </w:pPr>
                          <w:r>
                            <w:t>Autoren</w:t>
                          </w:r>
                        </w:p>
                        <w:p w:rsidR="00C02512" w:rsidRDefault="001D4B06">
                          <w:pPr>
                            <w:pStyle w:val="LL-Autoren"/>
                          </w:pPr>
                          <w:r>
                            <w:t>Hofmann, Wolf-Karsten</w:t>
                          </w:r>
                        </w:p>
                        <w:p w:rsidR="00C02512" w:rsidRDefault="001D4B06">
                          <w:pPr>
                            <w:pStyle w:val="LL-Autoren"/>
                          </w:pPr>
                          <w:r>
                            <w:t>Germing, Ulrich</w:t>
                          </w:r>
                        </w:p>
                        <w:p w:rsidR="00C02512" w:rsidRDefault="001D4B06">
                          <w:pPr>
                            <w:pStyle w:val="LL-Autoren"/>
                          </w:pPr>
                          <w:r>
                            <w:t>Götze, Katharina</w:t>
                          </w:r>
                        </w:p>
                        <w:p w:rsidR="00C02512" w:rsidRDefault="001D4B06">
                          <w:pPr>
                            <w:pStyle w:val="LL-Autoren"/>
                          </w:pPr>
                          <w:r>
                            <w:t>Passweg, Jakob</w:t>
                          </w:r>
                        </w:p>
                        <w:p w:rsidR="00C02512" w:rsidRDefault="001D4B06">
                          <w:pPr>
                            <w:pStyle w:val="LL-Autoren"/>
                          </w:pPr>
                          <w:r>
                            <w:t>Platzbecker, Uwe</w:t>
                          </w:r>
                        </w:p>
                        <w:p w:rsidR="00C02512" w:rsidRDefault="001D4B06">
                          <w:pPr>
                            <w:pStyle w:val="LL-Autoren"/>
                          </w:pPr>
                          <w:r>
                            <w:t>Stauder, Reinhard</w:t>
                          </w:r>
                        </w:p>
                      </w:txbxContent>
                    </v:textbox>
                    <w10:wrap anchorx="page" anchory="page"/>
                  </v:rect>
                </w:pict>
              </mc:Fallback>
            </mc:AlternateContent>
          </w:r>
        </w:p>
        <w:sdt>
          <w:sdtPr>
            <w:id w:val="1670601181"/>
            <w:docPartObj>
              <w:docPartGallery w:val="Cover Pages"/>
              <w:docPartUnique/>
            </w:docPartObj>
          </w:sdtPr>
          <w:sdtEndPr/>
          <w:sdtContent>
            <w:p w:rsidR="006061E5" w:rsidRPr="00F73A94" w:rsidRDefault="001D4B06" w:rsidP="006061E5">
              <w:r>
                <w:rPr>
                  <w:noProof/>
                  <w:lang w:eastAsia="de-DE"/>
                </w:rPr>
                <mc:AlternateContent>
                  <mc:Choice Requires="wps">
                    <w:drawing>
                      <wp:anchor distT="0" distB="0" distL="114300" distR="114300" simplePos="0" relativeHeight="251659264" behindDoc="1" locked="0" layoutInCell="1" allowOverlap="1">
                        <wp:simplePos x="0" y="0"/>
                        <wp:positionH relativeFrom="page">
                          <wp:posOffset>151130</wp:posOffset>
                        </wp:positionH>
                        <wp:positionV relativeFrom="page">
                          <wp:posOffset>213995</wp:posOffset>
                        </wp:positionV>
                        <wp:extent cx="5215890" cy="10259060"/>
                        <wp:effectExtent l="0" t="0" r="3175" b="381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5890" cy="10259060"/>
                                </a:xfrm>
                                <a:prstGeom prst="rect">
                                  <a:avLst/>
                                </a:prstGeom>
                                <a:gradFill flip="none" rotWithShape="1">
                                  <a:gsLst>
                                    <a:gs pos="0">
                                      <a:schemeClr val="accent3">
                                        <a:lumMod val="67000"/>
                                      </a:schemeClr>
                                    </a:gs>
                                    <a:gs pos="25000">
                                      <a:schemeClr val="accent3">
                                        <a:lumMod val="97000"/>
                                        <a:lumOff val="3000"/>
                                      </a:schemeClr>
                                    </a:gs>
                                    <a:gs pos="52000">
                                      <a:schemeClr val="accent3">
                                        <a:lumMod val="60000"/>
                                        <a:lumOff val="40000"/>
                                      </a:schemeClr>
                                    </a:gs>
                                  </a:gsLst>
                                  <a:lin ang="16200000" scaled="1"/>
                                  <a:tileRect/>
                                </a:gradFill>
                                <a:ln>
                                  <a:noFill/>
                                </a:ln>
                                <a:extLst/>
                              </wps:spPr>
                              <wps:txbx>
                                <w:txbxContent>
                                  <w:sdt>
                                    <w:sdtPr>
                                      <w:rPr>
                                        <w:caps/>
                                        <w:sz w:val="80"/>
                                        <w:szCs w:val="80"/>
                                      </w:rPr>
                                      <w:alias w:val="Titel"/>
                                      <w:id w:val="-915625910"/>
                                      <w:showingPlcHdr/>
                                      <w:dataBinding w:prefixMappings="xmlns:ns0='http://schemas.openxmlformats.org/package/2006/metadata/core-properties' xmlns:ns1='http://purl.org/dc/elements/1.1/'" w:xpath="/ns0:coreProperties[1]/ns1:title[1]" w:storeItemID="{6C3C8BC8-F283-45AE-878A-BAB7291924A1}"/>
                                      <w:text/>
                                    </w:sdtPr>
                                    <w:sdtEndPr/>
                                    <w:sdtContent>
                                      <w:p w:rsidR="00C02512" w:rsidRDefault="001D4B06">
                                        <w:pPr>
                                          <w:pStyle w:val="Titel"/>
                                        </w:pPr>
                                        <w:r>
                                          <w:t>Myelodysplastische Syndrome</w:t>
                                        </w:r>
                                      </w:p>
                                    </w:sdtContent>
                                  </w:sdt>
                                  <w:p w:rsidR="00C02512" w:rsidRDefault="001D4B06">
                                    <w:pPr>
                                      <w:pStyle w:val="Metadaten"/>
                                    </w:pPr>
                                    <w:r>
                                      <w:t>Sprache: German</w:t>
                                    </w:r>
                                  </w:p>
                                  <w:p w:rsidR="00C02512" w:rsidRDefault="001D4B06">
                                    <w:pPr>
                                      <w:pStyle w:val="Metadaten"/>
                                    </w:pPr>
                                    <w:r>
                                      <w:t>Bereich: Onkopedia</w:t>
                                    </w:r>
                                  </w:p>
                                  <w:p w:rsidR="00C02512" w:rsidRDefault="001D4B06">
                                    <w:pPr>
                                      <w:pStyle w:val="Metadaten"/>
                                    </w:pPr>
                                    <w:r>
                                      <w:t>Klassifizierung: ONKOPEDIA::Hematological Malignancies</w:t>
                                    </w:r>
                                  </w:p>
                                  <w:p w:rsidR="00C02512" w:rsidRDefault="001D4B06">
                                    <w:pPr>
                                      <w:pStyle w:val="Metadaten"/>
                                    </w:pPr>
                                    <w:r>
                                      <w:t>Fachgesellschaften: DGHO OeGHO SGHSSH</w:t>
                                    </w:r>
                                  </w:p>
                                  <w:p w:rsidR="00C02512" w:rsidRDefault="001D4B06">
                                    <w:pPr>
                                      <w:pStyle w:val="Metadaten"/>
                                    </w:pPr>
                                    <w:r>
                                      <w:t>Stand: 03/2016</w:t>
                                    </w:r>
                                  </w:p>
                                  <w:p w:rsidR="00C02512" w:rsidRDefault="001D4B06">
                                    <w:pPr>
                                      <w:pStyle w:val="Metadaten"/>
                                    </w:pPr>
                                    <w:r>
                                      <w:t>DokumentTyp: Guideline</w:t>
                                    </w:r>
                                  </w:p>
                                  <w:p w:rsidR="00C02512" w:rsidRDefault="001D4B06">
                                    <w:pPr>
                                      <w:pStyle w:val="Metadaten"/>
                                    </w:pPr>
                                    <w:r>
                                      <w:t>LLThema: Myelodysplastische Syndrome (MDS)</w:t>
                                    </w:r>
                                  </w:p>
                                  <w:p w:rsidR="00C02512" w:rsidRDefault="001D4B06">
                                    <w:pPr>
                                      <w:pStyle w:val="Metadaten"/>
                                    </w:pPr>
                                    <w:r>
                                      <w:t>Konvertierung am: 18.03.2016 16:56</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_x0000_s1028" style="position:absolute;margin-left:11.9pt;margin-top:16.85pt;width:410.7pt;height:807.8pt;z-index:-251657216;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" fillcolor="#375523 [2150]" stroked="f">
                        <v:fill color2="#93c573 [1942]" rotate="t" angle="180" colors="0 #385624;.25 #578838;34079f #94c674" focus="100%" type="gradient"/>
                        <v:path arrowok="t"/>
                        <v:textbox inset="21.6pt,1in,21.6pt">
                          <w:txbxContent>
                            <w:sdt>
                              <w:sdtPr>
                                <w:rPr>
                                  <w:caps/>
                                  <w:sz w:val="80"/>
                                  <w:szCs w:val="80"/>
                                </w:rPr>
                                <w:alias w:val="Titel"/>
                                <w:id w:val="-915625910"/>
                                <w:showingPlcHdr/>
                                <w:dataBinding w:prefixMappings="xmlns:ns0='http://schemas.openxmlformats.org/package/2006/metadata/core-properties' xmlns:ns1='http://purl.org/dc/elements/1.1/'" w:xpath="/ns0:coreProperties[1]/ns1:title[1]" w:storeItemID="{6C3C8BC8-F283-45AE-878A-BAB7291924A1}"/>
                                <w:text/>
                              </w:sdtPr>
                              <w:sdtEndPr/>
                              <w:sdtContent>
                                <w:p w:rsidR="00C02512" w:rsidRDefault="001D4B06">
                                  <w:pPr>
                                    <w:pStyle w:val="Titel"/>
                                  </w:pPr>
                                  <w:r>
                                    <w:t>Myelodysplastische Syndrome</w:t>
                                  </w:r>
                                </w:p>
                              </w:sdtContent>
                            </w:sdt>
                            <w:p w:rsidR="00C02512" w:rsidRDefault="001D4B06">
                              <w:pPr>
                                <w:pStyle w:val="Metadaten"/>
                              </w:pPr>
                              <w:r>
                                <w:t>Sprache: German</w:t>
                              </w:r>
                            </w:p>
                            <w:p w:rsidR="00C02512" w:rsidRDefault="001D4B06">
                              <w:pPr>
                                <w:pStyle w:val="Metadaten"/>
                              </w:pPr>
                              <w:r>
                                <w:t>Bereich: Onkopedia</w:t>
                              </w:r>
                            </w:p>
                            <w:p w:rsidR="00C02512" w:rsidRDefault="001D4B06">
                              <w:pPr>
                                <w:pStyle w:val="Metadaten"/>
                              </w:pPr>
                              <w:r>
                                <w:t>Klassifizierung: ONKOPEDIA::Hematological Malignancies</w:t>
                              </w:r>
                            </w:p>
                            <w:p w:rsidR="00C02512" w:rsidRDefault="001D4B06">
                              <w:pPr>
                                <w:pStyle w:val="Metadaten"/>
                              </w:pPr>
                              <w:r>
                                <w:t>Fachgesellschaften: DGHO OeGHO SGHSSH</w:t>
                              </w:r>
                            </w:p>
                            <w:p w:rsidR="00C02512" w:rsidRDefault="001D4B06">
                              <w:pPr>
                                <w:pStyle w:val="Metadaten"/>
                              </w:pPr>
                              <w:r>
                                <w:t>Stand: 03/2016</w:t>
                              </w:r>
                            </w:p>
                            <w:p w:rsidR="00C02512" w:rsidRDefault="001D4B06">
                              <w:pPr>
                                <w:pStyle w:val="Metadaten"/>
                              </w:pPr>
                              <w:r>
                                <w:t>DokumentTyp: Guideline</w:t>
                              </w:r>
                            </w:p>
                            <w:p w:rsidR="00C02512" w:rsidRDefault="001D4B06">
                              <w:pPr>
                                <w:pStyle w:val="Metadaten"/>
                              </w:pPr>
                              <w:r>
                                <w:t>LLThema: Myelodysplastische Syndrome (MDS)</w:t>
                              </w:r>
                            </w:p>
                            <w:p w:rsidR="00C02512" w:rsidRDefault="001D4B06">
                              <w:pPr>
                                <w:pStyle w:val="Metadaten"/>
                              </w:pPr>
                              <w:r>
                                <w:t>Konvertierung am: 18.03.2016 16:56</w:t>
                              </w:r>
                            </w:p>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9435" cy="10261600"/>
                        <wp:effectExtent l="0" t="0" r="0" b="381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261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2512" w:rsidRDefault="001D4B06">
                                    <w:pPr>
                                      <w:pStyle w:val="LLAutoren-berschrift"/>
                                    </w:pPr>
                                    <w:r>
                                      <w:t>Autoren</w:t>
                                    </w:r>
                                  </w:p>
                                  <w:p w:rsidR="00C02512" w:rsidRDefault="001D4B06">
                                    <w:pPr>
                                      <w:pStyle w:val="LL-Autoren"/>
                                    </w:pPr>
                                    <w:r>
                                      <w:t>H</w:t>
                                    </w:r>
                                    <w:r>
                                      <w:t>ofmann, Wolf-Karsten</w:t>
                                    </w:r>
                                  </w:p>
                                  <w:p w:rsidR="00C02512" w:rsidRDefault="001D4B06">
                                    <w:pPr>
                                      <w:pStyle w:val="LL-Autoren"/>
                                    </w:pPr>
                                    <w:r>
                                      <w:t>Germing, Ulrich</w:t>
                                    </w:r>
                                  </w:p>
                                  <w:p w:rsidR="00C02512" w:rsidRDefault="001D4B06">
                                    <w:pPr>
                                      <w:pStyle w:val="LL-Autoren"/>
                                    </w:pPr>
                                    <w:r>
                                      <w:t>Götze, Katharina</w:t>
                                    </w:r>
                                  </w:p>
                                  <w:p w:rsidR="00C02512" w:rsidRDefault="001D4B06">
                                    <w:pPr>
                                      <w:pStyle w:val="LL-Autoren"/>
                                    </w:pPr>
                                    <w:r>
                                      <w:t>Passweg, Jakob</w:t>
                                    </w:r>
                                  </w:p>
                                  <w:p w:rsidR="00C02512" w:rsidRDefault="001D4B06">
                                    <w:pPr>
                                      <w:pStyle w:val="LL-Autoren"/>
                                    </w:pPr>
                                    <w:r>
                                      <w:t>Platzbecker, Uwe</w:t>
                                    </w:r>
                                  </w:p>
                                  <w:p w:rsidR="00C02512" w:rsidRDefault="001D4B06">
                                    <w:pPr>
                                      <w:pStyle w:val="LL-Autoren"/>
                                    </w:pPr>
                                    <w:r>
                                      <w:t>Stauder, Reinhard</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_x0000_s1029" style="position:absolute;margin-left:0;margin-top:0;width:144.05pt;height:808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" fillcolor="#e7e6e6 [3214]" stroked="f" strokeweight="1pt">
                        <v:path arrowok="t"/>
                        <v:textbox inset="14.4pt,,14.4pt">
                          <w:txbxContent>
                            <w:p w:rsidR="00C02512" w:rsidRDefault="001D4B06">
                              <w:pPr>
                                <w:pStyle w:val="LLAutoren-berschrift"/>
                              </w:pPr>
                              <w:r>
                                <w:t>Autoren</w:t>
                              </w:r>
                            </w:p>
                            <w:p w:rsidR="00C02512" w:rsidRDefault="001D4B06">
                              <w:pPr>
                                <w:pStyle w:val="LL-Autoren"/>
                              </w:pPr>
                              <w:r>
                                <w:t>H</w:t>
                              </w:r>
                              <w:r>
                                <w:t>ofmann, Wolf-Karsten</w:t>
                              </w:r>
                            </w:p>
                            <w:p w:rsidR="00C02512" w:rsidRDefault="001D4B06">
                              <w:pPr>
                                <w:pStyle w:val="LL-Autoren"/>
                              </w:pPr>
                              <w:r>
                                <w:t>Germing, Ulrich</w:t>
                              </w:r>
                            </w:p>
                            <w:p w:rsidR="00C02512" w:rsidRDefault="001D4B06">
                              <w:pPr>
                                <w:pStyle w:val="LL-Autoren"/>
                              </w:pPr>
                              <w:r>
                                <w:t>Götze, Katharina</w:t>
                              </w:r>
                            </w:p>
                            <w:p w:rsidR="00C02512" w:rsidRDefault="001D4B06">
                              <w:pPr>
                                <w:pStyle w:val="LL-Autoren"/>
                              </w:pPr>
                              <w:r>
                                <w:t>Passweg, Jakob</w:t>
                              </w:r>
                            </w:p>
                            <w:p w:rsidR="00C02512" w:rsidRDefault="001D4B06">
                              <w:pPr>
                                <w:pStyle w:val="LL-Autoren"/>
                              </w:pPr>
                              <w:r>
                                <w:t>Platzbecker, Uwe</w:t>
                              </w:r>
                            </w:p>
                            <w:p w:rsidR="00C02512" w:rsidRDefault="001D4B06">
                              <w:pPr>
                                <w:pStyle w:val="LL-Autoren"/>
                              </w:pPr>
                              <w:r>
                                <w:t>Stauder, Reinhard</w:t>
                              </w:r>
                            </w:p>
                          </w:txbxContent>
                        </v:textbox>
                        <w10:wrap anchorx="page" anchory="page"/>
                      </v:rect>
                    </w:pict>
                  </mc:Fallback>
                </mc:AlternateContent>
              </w:r>
            </w:p>
            <w:p w:rsidR="006061E5" w:rsidRDefault="006061E5" w:rsidP="006061E5"/>
            <w:p w:rsidR="006061E5" w:rsidRDefault="006061E5" w:rsidP="006061E5">
              <w:r>
                <w:br w:type="page"/>
              </w:r>
            </w:p>
          </w:sdtContent>
        </w:sdt>
        <w:p w:rsidR="00FF0C3B" w:rsidRPr="00B725F1" w:rsidRDefault="001D4B06" w:rsidP="005D44B6"/>
      </w:sdtContent>
    </w:sdt>
    <w:p w:rsidR="00C02512" w:rsidRDefault="001D4B06">
      <w:pPr>
        <w:pStyle w:val="berschrift1"/>
      </w:pPr>
      <w:bookmarkStart w:id="0" w:name="ID0EG"/>
      <w:bookmarkEnd w:id="0"/>
      <w:r>
        <w:t>Zusammenfassung</w:t>
      </w:r>
    </w:p>
    <w:p w:rsidR="00C02512" w:rsidRDefault="001D4B06">
      <w:bookmarkStart w:id="1" w:name="ID0EM"/>
      <w:bookmarkEnd w:id="1"/>
      <w:r>
        <w:t>Myelodysplastische Syndrome (MDS) sind sowohl aus diagnostischer als auch aus therapeutischer Sicht eine große Herausforderung. Die Diagnostik aus dem peripheren Blut und die zytomorphologische Knochenmarkdiagnostik in Kombination mit der Zytogenetik stell</w:t>
      </w:r>
      <w:r>
        <w:t xml:space="preserve">en den aktuellen Goldstandard in der MDS-Diagnostik dar. Risiko-Scores wie der IPSS und der IPSS-R erlauben eine Abschätzung der Prognose der Patienten hinsichtlich ihres Gesamtüberlebens und des Risikos einer Progression in eine akute myeloische Leukämie </w:t>
      </w:r>
      <w:r>
        <w:t>(AML). Das meist fortgeschrittene Alter und die häufig bestehenden Komorbiditäten der Patienten einerseits sowie die Therapietoxizität und oft unbefriedigenden Ansprechraten der konventionellen Therapieansätze andererseits stellen eine komplexe Herausforde</w:t>
      </w:r>
      <w:r>
        <w:t>rung an das Management von MDS-Patienten dar. Die Therapiemöglichkeiten sollten immer auf den Patienten individuell abgestimmt sein mit dem Ziel des Gewinns an Lebensqualität und Lebenszeit. Aus diesem Grund ist die allogene Stammzelltransplantation nur fü</w:t>
      </w:r>
      <w:r>
        <w:t>r eine Minderheit der Patienten eine kurative Therapieoption. Therapiegrundlage ist die supportive Therapie vor allem mit Gabe von Erythrozytenkonzentraten und ggf. notwendig werdender Eisenchelation. Für Patienten mit fortgeschrittenem MDS, die keine Kand</w:t>
      </w:r>
      <w:r>
        <w:t>idaten für eine Stammzelltransplantation sind, stellt Azacitidin eine wirksame und verträgliche Therapie dar, die ambulant durchführbar ist. Da es in der Therapie des MDS nur wenige etablierte Medikamente gibt, stehen vielen Patienten nur im Rahmen von Stu</w:t>
      </w:r>
      <w:r>
        <w:t>dien potentiell wirksame Substanzen zur Verfügung.</w:t>
      </w:r>
    </w:p>
    <w:p w:rsidR="00C02512" w:rsidRDefault="001D4B06">
      <w:pPr>
        <w:pStyle w:val="berschrift1"/>
      </w:pPr>
      <w:bookmarkStart w:id="2" w:name="ID0ER"/>
      <w:bookmarkEnd w:id="2"/>
      <w:r>
        <w:t>Grundlagen</w:t>
      </w:r>
    </w:p>
    <w:p w:rsidR="00C02512" w:rsidRDefault="001D4B06">
      <w:pPr>
        <w:pStyle w:val="berschrift2"/>
      </w:pPr>
      <w:bookmarkStart w:id="3" w:name="ID0EX"/>
      <w:bookmarkEnd w:id="3"/>
      <w:r>
        <w:t>Definition und Basisinformationen</w:t>
      </w:r>
    </w:p>
    <w:p w:rsidR="00C02512" w:rsidRDefault="001D4B06">
      <w:bookmarkStart w:id="4" w:name="ID0E4"/>
      <w:bookmarkEnd w:id="4"/>
      <w:r>
        <w:t>Myelodysplastische Syndrome (MDS) sind Erkrankungen der hämatopoietischen Stammzelle, die durch Dysplasien von Blut- und Knochenmarkzellen mit hämatopoietischer</w:t>
      </w:r>
      <w:r>
        <w:t xml:space="preserve"> Insuffizienz und erhöhtem Risiko der Entwicklung einer akuten myeloischen Leukämie gekennzeichnet sind. Therapieassoziierte MDS (ca. 10 %) können nach vorangegangener Chemo- und/oder Strahlentherapie auftreten, in ca. 90 % der Fälle läßt sich eine Noxe ni</w:t>
      </w:r>
      <w:r>
        <w:t>cht sicher nachweisen. Leitbefund ist meist eine Anämie, oft auch Bi- oder Panzytopenie. Das Knochenmark ist oft normo- oder sogar hyperzellulär, in ca. 10 % der Fälle hypozellulär. Diagnostisch wegweisend sind Dysplasiezeichen einer oder mehrerer Zellreih</w:t>
      </w:r>
      <w:r>
        <w:t>en. Mindestens 10 % der Zellen einer Reihe müssen eindeutige Dysplasiezeichen aufweisen, damit die Diagnose eines MDS gestellt werden kann. Über 50 % der Patienten weisen bei Diagnosestellung chromosomale Aberrationen auf.</w:t>
      </w:r>
    </w:p>
    <w:p w:rsidR="00C02512" w:rsidRDefault="001D4B06">
      <w:pPr>
        <w:pStyle w:val="berschrift2"/>
      </w:pPr>
      <w:bookmarkStart w:id="5" w:name="ID0ECB"/>
      <w:bookmarkEnd w:id="5"/>
      <w:r>
        <w:t>Epidemiologie</w:t>
      </w:r>
    </w:p>
    <w:p w:rsidR="00C02512" w:rsidRDefault="001D4B06">
      <w:bookmarkStart w:id="6" w:name="ID0EIB"/>
      <w:bookmarkEnd w:id="6"/>
      <w:r>
        <w:t xml:space="preserve">Die MDS zählen mit </w:t>
      </w:r>
      <w:r>
        <w:t xml:space="preserve">einer Inzidenz von ca. 4-5/100.000 Einwohnern pro Jahr zu den häufigsten malignen hämatologischen Erkrankungen </w:t>
      </w:r>
      <w:r>
        <w:rPr>
          <w:rStyle w:val="Literaturverweis"/>
        </w:rPr>
        <w:t>[</w:t>
      </w:r>
      <w:hyperlink w:anchor="litID0EWVBI" w:history="1">
        <w:r>
          <w:rPr>
            <w:rStyle w:val="Literaturverweis"/>
          </w:rPr>
          <w:t>1</w:t>
        </w:r>
      </w:hyperlink>
      <w:r>
        <w:rPr>
          <w:rStyle w:val="Literaturverweis"/>
        </w:rPr>
        <w:t>]</w:t>
      </w:r>
      <w:r>
        <w:t>. Im Alter über 70 steigt die Inzidenz auf &gt;30/100.000 an. Das mediane Erkrankungsalter liegt bei ca. 75 Jahren</w:t>
      </w:r>
      <w:r>
        <w:t>, Frauen sind etwas seltener betroffen als Männer.</w:t>
      </w:r>
    </w:p>
    <w:p w:rsidR="00C02512" w:rsidRDefault="001D4B06">
      <w:bookmarkStart w:id="7" w:name="ID0ERB"/>
      <w:bookmarkEnd w:id="7"/>
      <w:r>
        <w:t>Pathogenese</w:t>
      </w:r>
    </w:p>
    <w:p w:rsidR="00C02512" w:rsidRDefault="001D4B06">
      <w:bookmarkStart w:id="8" w:name="ID0EUB"/>
      <w:bookmarkEnd w:id="8"/>
      <w:r>
        <w:t>Zytogenetische und molekularbiologische Untersuchungen zeigen, daß MDS klonale Erkrankungen der Hämatopoese sind, gekennzeichnet durch das Mißverhältnis von Proliferation hämatopoetischer Vorlä</w:t>
      </w:r>
      <w:r>
        <w:t xml:space="preserve">uferzellen und fehlender Ausreifung dieser Zellen. Über 50 % der Patienten weisen bei Diagnosestellung chromosomale Aberrationen auf </w:t>
      </w:r>
      <w:r>
        <w:rPr>
          <w:rStyle w:val="Literaturverweis"/>
        </w:rPr>
        <w:t>[</w:t>
      </w:r>
      <w:hyperlink w:anchor="litID0EAWBI" w:history="1">
        <w:r>
          <w:rPr>
            <w:rStyle w:val="Literaturverweis"/>
          </w:rPr>
          <w:t>2</w:t>
        </w:r>
      </w:hyperlink>
      <w:r>
        <w:rPr>
          <w:rStyle w:val="Literaturverweis"/>
        </w:rPr>
        <w:t>]</w:t>
      </w:r>
      <w:r>
        <w:t>.</w:t>
      </w:r>
    </w:p>
    <w:p w:rsidR="00C02512" w:rsidRDefault="001D4B06">
      <w:bookmarkStart w:id="9" w:name="ID0E4B"/>
      <w:bookmarkEnd w:id="9"/>
      <w:r>
        <w:t>In den letzten Jahren konnte eine Reihe von Genen identifiziert werden, deren Expressio</w:t>
      </w:r>
      <w:r>
        <w:t>n zur malignen Transformation von Zellen beiträgt. Die sogenannten Onkogene erhalten ihr transformierendes Potential durch somatische Mutationen ihrer nicht transformierenden Gegenstücke, der sogenannten Proto-Onkogene, hochkonservierter Gene, die normaler</w:t>
      </w:r>
      <w:r>
        <w:t>weise eine Schlüsselrolle bei Zellwachstum und Differenzierung spielen. Die Entartung von Proto-Onkogenen zu Onkogenen kann durch strukturelle Änderungen innerhalb der korrespondierenden Gene, durch chromosomale Translokationen oder auch durch nichtphysiol</w:t>
      </w:r>
      <w:r>
        <w:t>ogische Expression aufgrund von Mutationen in regulatorischen Elementen der Genexpression hervorgerufen werden. Die starke Proliferation hämatopoetischer Zellen begünstigt potentiell das Auftreten derartiger Mutationen.</w:t>
      </w:r>
    </w:p>
    <w:p w:rsidR="00C02512" w:rsidRDefault="001D4B06">
      <w:bookmarkStart w:id="10" w:name="ID0EAC"/>
      <w:bookmarkEnd w:id="10"/>
      <w:r>
        <w:t>Physiologisch wird die Ausprägung ei</w:t>
      </w:r>
      <w:r>
        <w:t>nes malignen Phänotyps durch die Expression von Tumor-Suppressor-Genen, die den Zellzyklus anhalten und Apoptose fördern, vereitelt. Ist dagegen die Expression dieser Überwachungsgene durch Mutationen oder Deletionen beeinträchtigt, wird die betroffene Zel</w:t>
      </w:r>
      <w:r>
        <w:t>le anfällig für neoplastische Transformation.</w:t>
      </w:r>
    </w:p>
    <w:p w:rsidR="00C02512" w:rsidRDefault="001D4B06">
      <w:bookmarkStart w:id="11" w:name="ID0EDC"/>
      <w:bookmarkEnd w:id="11"/>
      <w:r>
        <w:t xml:space="preserve">Aktuelle Arbeiten setzen sich intensiv mit der klonalen Entwicklung der Hämatopoese beim MDS auseinander. Das Auftreten von frühen (sogenannten Founder-) Mutationen wird als initiierende </w:t>
      </w:r>
      <w:r>
        <w:lastRenderedPageBreak/>
        <w:t>Veränderung vermutet, i</w:t>
      </w:r>
      <w:r>
        <w:t>n deren Folge funktionelle Störungen der Hämatopoese auftreten, die zum einen die hämatopoetische Insuffizienz, zum anderen die Transformation zur akuten Leukämie bedingen.</w:t>
      </w:r>
    </w:p>
    <w:p w:rsidR="00C02512" w:rsidRDefault="001D4B06">
      <w:pPr>
        <w:pStyle w:val="berschrift2"/>
      </w:pPr>
      <w:bookmarkStart w:id="12" w:name="ID0EIC"/>
      <w:bookmarkEnd w:id="12"/>
      <w:r>
        <w:t>[Kapitel nicht relevant]</w:t>
      </w:r>
    </w:p>
    <w:p w:rsidR="00C02512" w:rsidRDefault="001D4B06">
      <w:pPr>
        <w:pStyle w:val="berschrift2"/>
      </w:pPr>
      <w:bookmarkStart w:id="13" w:name="ID0ENC"/>
      <w:bookmarkEnd w:id="13"/>
      <w:r>
        <w:t>Risikofaktoren</w:t>
      </w:r>
    </w:p>
    <w:p w:rsidR="00C02512" w:rsidRDefault="001D4B06">
      <w:bookmarkStart w:id="14" w:name="ID0ETC"/>
      <w:bookmarkEnd w:id="14"/>
      <w:r>
        <w:t xml:space="preserve">Mehrere Einzelfaktoren, die allein oder in </w:t>
      </w:r>
      <w:r>
        <w:t>Kombination die Entwicklung eines MDS begünstigen sollen, sind bekannt und werden im Folgenden kurz beschrieben. Ätiologisch werden primäre Formen der MDS von den therapieassoziierten Formen unterschieden.</w:t>
      </w:r>
    </w:p>
    <w:p w:rsidR="00C02512" w:rsidRDefault="001D4B06">
      <w:bookmarkStart w:id="15" w:name="ID0EWC"/>
      <w:bookmarkEnd w:id="15"/>
      <w:r>
        <w:t>Bei den sekundären Erkrankungen treten die Verände</w:t>
      </w:r>
      <w:r>
        <w:t>rungen der Blutbildung bei Patienten nach vorangegangener Bestrahlungs- oder Chemotherapie auf. Insbesondere die Behandlung mit Alkylantien in Kombination mit einer Bestrahlungstherapie (z. B. Lymphome) ist mit dem Risiko des Auftretens eines MDS als Zweit</w:t>
      </w:r>
      <w:r>
        <w:t>neoplasie verbunden. Die mittlere Latenzzeit für das Auftreten eines MDS beträgt in diesen Fällen durchschnittlich 2-6 Jahre.</w:t>
      </w:r>
    </w:p>
    <w:p w:rsidR="00C02512" w:rsidRDefault="001D4B06">
      <w:bookmarkStart w:id="16" w:name="ID0EZC"/>
      <w:bookmarkEnd w:id="16"/>
      <w:r>
        <w:t xml:space="preserve">Eine besondere Form des MDS ist die Erkrankung nach langjähriger Exposition der Betroffenen gegenüber benzolhaltigen Stoffen oder </w:t>
      </w:r>
      <w:r>
        <w:t>bestimmten chemischen Lösungsmitteln. Als typische Berufsgruppen sind ehemalige Tankstellenbedienstete, Maler und Lackierer sowie Bedienstete von Flughäfen (Betankung von Flugzeugen mit Kerosin) betroffen. Voraussetzung für die Anerkennung als Berufskrankh</w:t>
      </w:r>
      <w:r>
        <w:t>eit ist in diesen Fällen eine langandauernde (i. d. R. 10-20 Jahre) Exposition gegenüber den genannten Chemikalien.</w:t>
      </w:r>
    </w:p>
    <w:p w:rsidR="00C02512" w:rsidRDefault="001D4B06">
      <w:bookmarkStart w:id="17" w:name="ID0E3C"/>
      <w:bookmarkEnd w:id="17"/>
      <w:r>
        <w:t>Im Zusammenhang mit dem gehäuften Auftreten von Leukämien nach Strahlenbelastung (Atombombenabwürfe in Japan 1945, Reaktorunfall in Tscherno</w:t>
      </w:r>
      <w:r>
        <w:t>byl 1986) wurden auch vermehrt myelodysplastische Erkrankungen, die im Verlauf schnell in eine akute Leukämie übergingen, beobachtet. Diese Erfahrungen lassen vermuten, daß eine hohe radioaktive Strahlenbelastung Veränderungen in der Hämatopoese bewirkt, d</w:t>
      </w:r>
      <w:r>
        <w:t>ie zur Entwicklung eines MDS führen können.</w:t>
      </w:r>
    </w:p>
    <w:p w:rsidR="00C02512" w:rsidRDefault="001D4B06">
      <w:bookmarkStart w:id="18" w:name="ID0E6C"/>
      <w:bookmarkEnd w:id="18"/>
      <w:r>
        <w:t>Erkrankungen, die ohne Hinweise auf die dargestellten Faktoren auftreten, werden als primäre MDS bezeichnet.</w:t>
      </w:r>
    </w:p>
    <w:p w:rsidR="00C02512" w:rsidRDefault="001D4B06">
      <w:pPr>
        <w:pStyle w:val="berschrift1"/>
      </w:pPr>
      <w:bookmarkStart w:id="19" w:name="ID0EED"/>
      <w:bookmarkEnd w:id="19"/>
      <w:r>
        <w:t>Vorbeugung und Früherkennung</w:t>
      </w:r>
    </w:p>
    <w:p w:rsidR="00C02512" w:rsidRDefault="001D4B06">
      <w:pPr>
        <w:pStyle w:val="berschrift2"/>
      </w:pPr>
      <w:bookmarkStart w:id="20" w:name="ID0EKD"/>
      <w:bookmarkEnd w:id="20"/>
      <w:r>
        <w:t>Vorbeugung</w:t>
      </w:r>
    </w:p>
    <w:p w:rsidR="00C02512" w:rsidRDefault="001D4B06">
      <w:pPr>
        <w:pStyle w:val="berschrift2"/>
      </w:pPr>
      <w:bookmarkStart w:id="21" w:name="ID0EQD"/>
      <w:bookmarkEnd w:id="21"/>
      <w:r>
        <w:t>Früherkennung</w:t>
      </w:r>
    </w:p>
    <w:p w:rsidR="00C02512" w:rsidRDefault="001D4B06">
      <w:pPr>
        <w:pStyle w:val="berschrift1"/>
      </w:pPr>
      <w:bookmarkStart w:id="22" w:name="ID0EWD"/>
      <w:bookmarkEnd w:id="22"/>
      <w:r>
        <w:t>Klinisches Bild</w:t>
      </w:r>
    </w:p>
    <w:p w:rsidR="00C02512" w:rsidRDefault="001D4B06">
      <w:pPr>
        <w:pStyle w:val="berschrift2"/>
      </w:pPr>
      <w:bookmarkStart w:id="23" w:name="ID0E3D"/>
      <w:bookmarkEnd w:id="23"/>
      <w:r>
        <w:t>Symptome</w:t>
      </w:r>
    </w:p>
    <w:p w:rsidR="00C02512" w:rsidRDefault="001D4B06">
      <w:bookmarkStart w:id="24" w:name="ID0ECE"/>
      <w:bookmarkEnd w:id="24"/>
      <w:r>
        <w:t>Die häufigste Erstmanife</w:t>
      </w:r>
      <w:r>
        <w:t>station eines MDS ist die Anämie (in ca. 70-80 %), die häufig bei einer Routineuntersuchung (Blutbildkontrolle vor geplanter Operation, Kontrolle beim Hausarzt) auffällt. Der im Alter sehr häufigen sogenannten „Altersanämie“ (Prävalenz ca. 15 % in Mitteleu</w:t>
      </w:r>
      <w:r>
        <w:t>ropa) dürfte in etwa in 10-20 % ein bisher nicht diagnostiziertes MDS zu Grunde liegen. Die Anämie führt bei einem relevanten Teil der Patienten zu einer Einschränkung der Lebensqualität und des Performance Status und macht oft die Transfusion von Erythroz</w:t>
      </w:r>
      <w:r>
        <w:t>ytenkonzentraten notwendig. Bei einem Teil der Patienten zeigen sich die typischen Symptome der Anämie wie Dyspnoe, insbesondere bei Belastung, allgemeine körperliche Schwäche, Herzrasen und Kopfschmerzen. Symptome einer Herz- oder cerebrovaskulären Insuff</w:t>
      </w:r>
      <w:r>
        <w:t>izienz oder koronaren Herzerkrankung können verstärkt werden. Wenn sich die Anämie rasch entwickelt, kommt es zu Sehstörungen bzw. können Verwirrungszustände auftreten. Zu den klinischen Befunden gehören die Blässe der Schleimhäute (Hämoglobin (Hb) meist u</w:t>
      </w:r>
      <w:r>
        <w:t>nter 10 g/dl) und des Nagelbettes (Hb meist unter 8 g/dl). Nicht selten werden unspezifische Beschwerden wie Appetitlosigkeit und gastrointestinale Beschwerden geschildert.</w:t>
      </w:r>
    </w:p>
    <w:p w:rsidR="00C02512" w:rsidRDefault="001D4B06">
      <w:bookmarkStart w:id="25" w:name="ID0EFE"/>
      <w:bookmarkEnd w:id="25"/>
      <w:r>
        <w:t xml:space="preserve">Etwa jeder dritte Patient berichtet bei Erstdiagnose eines MDS von wiederkehrenden </w:t>
      </w:r>
      <w:r>
        <w:t>Infektionen, besonders des Bronchialsystems oder der Haut, bedingt durch die Leukopenie bzw. die Funktionsstörung der neutrophilen Granulozyten.</w:t>
      </w:r>
    </w:p>
    <w:p w:rsidR="00C02512" w:rsidRDefault="001D4B06">
      <w:bookmarkStart w:id="26" w:name="ID0EIE"/>
      <w:bookmarkEnd w:id="26"/>
      <w:r>
        <w:t>Trotz eines Anteils von etwa 50 % der Patienten, die bei Erstdiagnose eine Thrombozytopenie aufweisen, sind ini</w:t>
      </w:r>
      <w:r>
        <w:t>tiale Blutungskomplikationen selten. Man beobachtet dann Petechien, Zahnfleischbluten oder Hämatome nach Bagatelltraumen. Bei 10 % der MDS-Patienten manifestiert sich die Erkrankung mit einer schweren Blutung, zum Beispiel des Gastrointestinaltraktes, im B</w:t>
      </w:r>
      <w:r>
        <w:t>ereich der ableitenden Harnwege, in der Retina oder im Zentralnervensystem.</w:t>
      </w:r>
    </w:p>
    <w:p w:rsidR="00C02512" w:rsidRDefault="001D4B06">
      <w:bookmarkStart w:id="27" w:name="ID0ELE"/>
      <w:bookmarkEnd w:id="27"/>
      <w:r>
        <w:lastRenderedPageBreak/>
        <w:t>In 10-20 % der Fälle ist eine Splenomegalie nachweisbar, vermehrt bei Patienten mit CMML (30-50 %). Nur selten werden dadurch gastrointestinale Symptome hervorgerufen. Nicht typisc</w:t>
      </w:r>
      <w:r>
        <w:t>h, aber bei 5-25 % der Patienten zu beobachten, ist eine Hepatomegalie. Vergrößerte periphere Lymphknoten wurden bei 5-15 % der Patienten im Zusammenhang mit der Erstdiagnose eines MDS gefunden.</w:t>
      </w:r>
    </w:p>
    <w:p w:rsidR="00C02512" w:rsidRDefault="001D4B06">
      <w:bookmarkStart w:id="28" w:name="ID0EOE"/>
      <w:bookmarkEnd w:id="28"/>
      <w:r>
        <w:t>Selten ist das MDS mit Hautsymptomen verbunden, dann insbeson</w:t>
      </w:r>
      <w:r>
        <w:t>dere mit einer akuten neutrophilen Dermatitis (Sweet-Syndrom). Bei CMML werden gelegentlich Hautinfiltrationen durch myelomonozytäre Zellen gesehen. Auto-immunologische Manifestationen wie eine Arthritis, Osteochondritis oder eine Vaskulitis (Sweet-Syndrom</w:t>
      </w:r>
      <w:r>
        <w:t xml:space="preserve">) finden sich in einem kleineren Teil der  MDS-Patienten.  </w:t>
      </w:r>
    </w:p>
    <w:p w:rsidR="00C02512" w:rsidRDefault="001D4B06">
      <w:pPr>
        <w:pStyle w:val="berschrift1"/>
      </w:pPr>
      <w:bookmarkStart w:id="29" w:name="ID0ETE"/>
      <w:bookmarkEnd w:id="29"/>
      <w:r>
        <w:t>Diagnose</w:t>
      </w:r>
    </w:p>
    <w:p w:rsidR="00C02512" w:rsidRDefault="001D4B06">
      <w:pPr>
        <w:pStyle w:val="berschrift2"/>
      </w:pPr>
      <w:bookmarkStart w:id="30" w:name="ID0EZE"/>
      <w:bookmarkEnd w:id="30"/>
      <w:r>
        <w:t xml:space="preserve">Diagnose-Kriterien </w:t>
      </w:r>
    </w:p>
    <w:p w:rsidR="00C02512" w:rsidRDefault="001D4B06">
      <w:bookmarkStart w:id="31" w:name="ID0E6E"/>
      <w:bookmarkEnd w:id="31"/>
      <w:r>
        <w:t xml:space="preserve">Zur MDS-Diagnostik gehören nach Ausschluß zahlreicher Differentialdiagnosen (Kapitel </w:t>
      </w:r>
      <w:hyperlink w:anchor="ID0E11AI" w:history="1">
        <w:r>
          <w:rPr>
            <w:rStyle w:val="Hyperlink"/>
          </w:rPr>
          <w:t>5.5</w:t>
        </w:r>
      </w:hyperlink>
      <w:r>
        <w:t xml:space="preserve">., </w:t>
      </w:r>
      <w:hyperlink w:anchor="ID0EB2AI" w:history="1">
        <w:r>
          <w:rPr>
            <w:rStyle w:val="Hyperlink"/>
          </w:rPr>
          <w:t>Tabelle 8</w:t>
        </w:r>
      </w:hyperlink>
      <w:r>
        <w:t xml:space="preserve">) die Anfertigung eines Blutbildes, Differentialblutbildes und eine Knochenmarkuntersuchung (Kapitel </w:t>
      </w:r>
      <w:hyperlink w:anchor="ID0EBG" w:history="1">
        <w:r>
          <w:rPr>
            <w:rStyle w:val="Hyperlink"/>
          </w:rPr>
          <w:t>5.2</w:t>
        </w:r>
      </w:hyperlink>
      <w:r>
        <w:t xml:space="preserve">., </w:t>
      </w:r>
      <w:hyperlink w:anchor="ID0EEH" w:history="1">
        <w:r>
          <w:rPr>
            <w:rStyle w:val="Hyperlink"/>
          </w:rPr>
          <w:t>Tabelle 1</w:t>
        </w:r>
      </w:hyperlink>
      <w:r>
        <w:t>).</w:t>
      </w:r>
    </w:p>
    <w:p w:rsidR="00C02512" w:rsidRDefault="001D4B06">
      <w:pPr>
        <w:pStyle w:val="berschrift2"/>
      </w:pPr>
      <w:bookmarkStart w:id="32" w:name="ID0EBG"/>
      <w:bookmarkEnd w:id="32"/>
      <w:r>
        <w:t>Diagnostik</w:t>
      </w:r>
    </w:p>
    <w:p w:rsidR="00C02512" w:rsidRDefault="001D4B06">
      <w:bookmarkStart w:id="33" w:name="ID0EHG"/>
      <w:bookmarkEnd w:id="33"/>
      <w:r>
        <w:t>Im Mittelpunkt steht die Zytomorphologie einschließlich Eisenfärbung, idea</w:t>
      </w:r>
      <w:r>
        <w:t>lerweise auch Peroxidase-, PAS- und Esterasefärbung, um Dysplasiezeichen zu identifizieren und den Anteil monozytärer Zellen und den Anteil der Ringsideroblasten zu ermitteln. Zytomorphologisch sollte zudem eine möglichst exakte Bestimmung des peripheren u</w:t>
      </w:r>
      <w:r>
        <w:t xml:space="preserve">nd medullären Blastenanteils erfolgen. Unter Berücksichtigung der Vorgaben des IPSS-R </w:t>
      </w:r>
      <w:r>
        <w:rPr>
          <w:rStyle w:val="Literaturverweis"/>
        </w:rPr>
        <w:t>[</w:t>
      </w:r>
      <w:hyperlink w:anchor="litID0EQWBI" w:history="1">
        <w:r>
          <w:rPr>
            <w:rStyle w:val="Literaturverweis"/>
          </w:rPr>
          <w:t>3</w:t>
        </w:r>
      </w:hyperlink>
      <w:r>
        <w:rPr>
          <w:rStyle w:val="Literaturverweis"/>
        </w:rPr>
        <w:t>]</w:t>
      </w:r>
      <w:r>
        <w:t xml:space="preserve"> ist eine exakte Angabe des medullären Blastenanteils unter prognostischen Gesichtspunkten nötig (0-2 % vs. 3-4 % vs. 5-10 % vs. 11-19 %</w:t>
      </w:r>
      <w:r>
        <w:t>). Obligat ist außerdem die Festlegung, ob die Dysplasiezeichen nur eine Zellreihe betreffen oder 2 oder 3 Zellreihen beeinträchtigt sind. Mit Hilfe dieser Parameter kann dann eine Klassifizierung in eine der WHO-Typen vorgenommen werden (</w:t>
      </w:r>
      <w:hyperlink w:anchor="ID0EEJAC" w:history="1">
        <w:r>
          <w:rPr>
            <w:rStyle w:val="Hyperlink"/>
          </w:rPr>
          <w:t>Tabelle 2</w:t>
        </w:r>
      </w:hyperlink>
      <w:r>
        <w:t xml:space="preserve"> und Tabelle</w:t>
      </w:r>
      <w:r w:rsidRPr="001D4B06">
        <w:t xml:space="preserve"> </w:t>
      </w:r>
      <w:r w:rsidRPr="001D4B06">
        <w:t>4</w:t>
      </w:r>
      <w:r>
        <w:t xml:space="preserve">) </w:t>
      </w:r>
      <w:r>
        <w:rPr>
          <w:rStyle w:val="Literaturverweis"/>
        </w:rPr>
        <w:t>[</w:t>
      </w:r>
      <w:hyperlink w:anchor="litID0E1WBI" w:history="1">
        <w:r>
          <w:rPr>
            <w:rStyle w:val="Literaturverweis"/>
          </w:rPr>
          <w:t>4</w:t>
        </w:r>
      </w:hyperlink>
      <w:r>
        <w:rPr>
          <w:rStyle w:val="Literaturverweis"/>
        </w:rPr>
        <w:t>,</w:t>
      </w:r>
      <w:hyperlink w:anchor="litID0EBXBI" w:history="1">
        <w:r>
          <w:rPr>
            <w:rStyle w:val="Literaturverweis"/>
          </w:rPr>
          <w:t>5</w:t>
        </w:r>
      </w:hyperlink>
      <w:r>
        <w:rPr>
          <w:rStyle w:val="Literaturverweis"/>
        </w:rPr>
        <w:t>]</w:t>
      </w:r>
      <w:r>
        <w:t xml:space="preserve">. </w:t>
      </w:r>
    </w:p>
    <w:p w:rsidR="00C02512" w:rsidRDefault="001D4B06">
      <w:pPr>
        <w:pStyle w:val="Tabellenbeschriftung"/>
      </w:pPr>
      <w:bookmarkStart w:id="34" w:name="ID0EEH"/>
      <w:r>
        <w:t>Tabelle 1</w:t>
      </w:r>
      <w:bookmarkEnd w:id="34"/>
      <w:r>
        <w:t xml:space="preserve">: </w:t>
      </w:r>
      <w:r>
        <w:t>Diagnostik</w:t>
      </w:r>
    </w:p>
    <w:tbl>
      <w:tblPr>
        <w:tblStyle w:val="TabelleKomplett"/>
        <w:tblW w:w="9640" w:type="dxa"/>
        <w:tblLayout w:type="fixed"/>
        <w:tblLook w:val="04A0" w:firstRow="1" w:lastRow="0" w:firstColumn="1" w:lastColumn="0" w:noHBand="0" w:noVBand="1"/>
      </w:tblPr>
      <w:tblGrid>
        <w:gridCol w:w="3814"/>
        <w:gridCol w:w="5826"/>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3814" w:type="dxa"/>
          </w:tcPr>
          <w:p w:rsidR="00C02512" w:rsidRDefault="001D4B06">
            <w:pPr>
              <w:pStyle w:val="Tabellenkopf"/>
            </w:pPr>
            <w:bookmarkStart w:id="35" w:name="ID0E4H"/>
            <w:bookmarkEnd w:id="35"/>
            <w:r>
              <w:t>Peripheres Blut</w:t>
            </w:r>
          </w:p>
        </w:tc>
        <w:tc>
          <w:tcPr>
            <w:tcW w:w="5825" w:type="dxa"/>
          </w:tcPr>
          <w:p w:rsidR="00C02512" w:rsidRDefault="001D4B06">
            <w:pPr>
              <w:pStyle w:val="Tabellenkopf"/>
            </w:pPr>
            <w:bookmarkStart w:id="36" w:name="ID0EMAAC"/>
            <w:bookmarkEnd w:id="36"/>
            <w:r>
              <w:t>Knochenmark</w:t>
            </w:r>
          </w:p>
        </w:tc>
      </w:tr>
      <w:tr w:rsidR="00C02512">
        <w:tc>
          <w:tcPr>
            <w:tcW w:w="3814" w:type="dxa"/>
          </w:tcPr>
          <w:p w:rsidR="00C02512" w:rsidRDefault="001D4B06">
            <w:pPr>
              <w:pStyle w:val="Tabellenbody"/>
            </w:pPr>
            <w:bookmarkStart w:id="37" w:name="ID0E1AAC"/>
            <w:bookmarkEnd w:id="37"/>
            <w:r>
              <w:t>Blutbild</w:t>
            </w:r>
          </w:p>
        </w:tc>
        <w:tc>
          <w:tcPr>
            <w:tcW w:w="5825" w:type="dxa"/>
          </w:tcPr>
          <w:p w:rsidR="00C02512" w:rsidRDefault="001D4B06">
            <w:pPr>
              <w:pStyle w:val="Tabellenbody"/>
            </w:pPr>
            <w:bookmarkStart w:id="38" w:name="ID0EGBAC"/>
            <w:bookmarkEnd w:id="38"/>
            <w:r>
              <w:t>Zytologie mit Fe, POX, PAS, Esterase</w:t>
            </w:r>
          </w:p>
        </w:tc>
      </w:tr>
      <w:tr w:rsidR="00C02512">
        <w:tc>
          <w:tcPr>
            <w:tcW w:w="3814" w:type="dxa"/>
          </w:tcPr>
          <w:p w:rsidR="00C02512" w:rsidRDefault="001D4B06">
            <w:pPr>
              <w:pStyle w:val="Tabellenbody"/>
            </w:pPr>
            <w:bookmarkStart w:id="39" w:name="ID0ESBAC"/>
            <w:bookmarkEnd w:id="39"/>
            <w:r>
              <w:t>Retikulozyten</w:t>
            </w:r>
          </w:p>
        </w:tc>
        <w:tc>
          <w:tcPr>
            <w:tcW w:w="5825" w:type="dxa"/>
          </w:tcPr>
          <w:p w:rsidR="00C02512" w:rsidRDefault="001D4B06">
            <w:pPr>
              <w:pStyle w:val="Tabellenbody"/>
            </w:pPr>
            <w:bookmarkStart w:id="40" w:name="ID0E4BAC"/>
            <w:bookmarkEnd w:id="40"/>
            <w:r>
              <w:t xml:space="preserve">Zytogenetik, ggf. mit FISH (Chromosomen 5, </w:t>
            </w:r>
            <w:r>
              <w:t xml:space="preserve">7, 8) [siehe </w:t>
            </w:r>
            <w:hyperlink w:anchor="ID0EBFAG" w:history="1">
              <w:r>
                <w:rPr>
                  <w:rStyle w:val="Hyperlink"/>
                </w:rPr>
                <w:t>Tabelle 3</w:t>
              </w:r>
            </w:hyperlink>
            <w:r>
              <w:t>]</w:t>
            </w:r>
          </w:p>
        </w:tc>
      </w:tr>
      <w:tr w:rsidR="00C02512">
        <w:tc>
          <w:tcPr>
            <w:tcW w:w="3814" w:type="dxa"/>
          </w:tcPr>
          <w:p w:rsidR="00C02512" w:rsidRDefault="001D4B06">
            <w:pPr>
              <w:pStyle w:val="Tabellenbody"/>
            </w:pPr>
            <w:bookmarkStart w:id="41" w:name="ID0ERCAC"/>
            <w:bookmarkEnd w:id="41"/>
            <w:r>
              <w:t>Differentialblutbild</w:t>
            </w:r>
          </w:p>
        </w:tc>
        <w:tc>
          <w:tcPr>
            <w:tcW w:w="5825" w:type="dxa"/>
          </w:tcPr>
          <w:p w:rsidR="00C02512" w:rsidRDefault="001D4B06">
            <w:pPr>
              <w:pStyle w:val="Tabellenbody"/>
            </w:pPr>
            <w:bookmarkStart w:id="42" w:name="ID0E3CAC"/>
            <w:bookmarkEnd w:id="42"/>
            <w:r>
              <w:t>Histologie</w:t>
            </w:r>
          </w:p>
        </w:tc>
      </w:tr>
      <w:tr w:rsidR="00C02512">
        <w:tc>
          <w:tcPr>
            <w:tcW w:w="3814" w:type="dxa"/>
          </w:tcPr>
          <w:p w:rsidR="00C02512" w:rsidRDefault="001D4B06">
            <w:pPr>
              <w:pStyle w:val="Tabellenbody"/>
            </w:pPr>
            <w:bookmarkStart w:id="43" w:name="ID0EIDAC"/>
            <w:bookmarkEnd w:id="43"/>
            <w:r>
              <w:t>LDH</w:t>
            </w:r>
          </w:p>
        </w:tc>
        <w:tc>
          <w:tcPr>
            <w:tcW w:w="5825" w:type="dxa"/>
          </w:tcPr>
          <w:p w:rsidR="00C02512" w:rsidRDefault="001D4B06">
            <w:pPr>
              <w:pStyle w:val="Tabellenbody"/>
            </w:pPr>
            <w:bookmarkStart w:id="44" w:name="ID0ETDAC"/>
            <w:bookmarkEnd w:id="44"/>
            <w:r>
              <w:t>Immunphänotypisierung</w:t>
            </w:r>
          </w:p>
        </w:tc>
      </w:tr>
      <w:tr w:rsidR="00C02512">
        <w:tc>
          <w:tcPr>
            <w:tcW w:w="3814" w:type="dxa"/>
          </w:tcPr>
          <w:p w:rsidR="00C02512" w:rsidRDefault="001D4B06">
            <w:pPr>
              <w:pStyle w:val="Tabellenbody"/>
            </w:pPr>
            <w:bookmarkStart w:id="45" w:name="ID0E6DAC"/>
            <w:bookmarkEnd w:id="45"/>
            <w:r>
              <w:t>Ferritin</w:t>
            </w:r>
          </w:p>
        </w:tc>
        <w:tc>
          <w:tcPr>
            <w:tcW w:w="5825" w:type="dxa"/>
          </w:tcPr>
          <w:p w:rsidR="00C02512" w:rsidRDefault="001D4B06">
            <w:pPr>
              <w:pStyle w:val="Tabellenbody"/>
            </w:pPr>
            <w:bookmarkStart w:id="46" w:name="ID0EKEAC"/>
            <w:bookmarkEnd w:id="46"/>
            <w:r>
              <w:t>Molekulargenetik:</w:t>
            </w:r>
          </w:p>
        </w:tc>
      </w:tr>
      <w:tr w:rsidR="00C02512" w:rsidRPr="001D4B06">
        <w:tc>
          <w:tcPr>
            <w:tcW w:w="3814" w:type="dxa"/>
          </w:tcPr>
          <w:p w:rsidR="00C02512" w:rsidRDefault="001D4B06">
            <w:pPr>
              <w:pStyle w:val="Tabellenbody"/>
            </w:pPr>
            <w:bookmarkStart w:id="47" w:name="ID0EWEAC"/>
            <w:bookmarkEnd w:id="47"/>
            <w:r>
              <w:t>Erythropoetin</w:t>
            </w:r>
          </w:p>
        </w:tc>
        <w:tc>
          <w:tcPr>
            <w:tcW w:w="5825" w:type="dxa"/>
          </w:tcPr>
          <w:p w:rsidR="00C02512" w:rsidRPr="001D4B06" w:rsidRDefault="001D4B06">
            <w:pPr>
              <w:pStyle w:val="Tabellenbody"/>
              <w:rPr>
                <w:lang w:val="en-US"/>
              </w:rPr>
            </w:pPr>
            <w:bookmarkStart w:id="48" w:name="ID0EBFAC"/>
            <w:bookmarkEnd w:id="48"/>
            <w:r w:rsidRPr="001D4B06">
              <w:rPr>
                <w:lang w:val="en-US"/>
              </w:rPr>
              <w:t>Diagnose: JAK-2, Calreticulin, TET-2, CBL, KITD816</w:t>
            </w:r>
          </w:p>
        </w:tc>
      </w:tr>
      <w:tr w:rsidR="00C02512">
        <w:tc>
          <w:tcPr>
            <w:tcW w:w="3814" w:type="dxa"/>
          </w:tcPr>
          <w:p w:rsidR="00C02512" w:rsidRDefault="001D4B06">
            <w:pPr>
              <w:pStyle w:val="Tabellenbody"/>
            </w:pPr>
            <w:bookmarkStart w:id="49" w:name="ID0EOFAC"/>
            <w:bookmarkEnd w:id="49"/>
            <w:r>
              <w:t>Folsäure</w:t>
            </w:r>
          </w:p>
        </w:tc>
        <w:tc>
          <w:tcPr>
            <w:tcW w:w="5825" w:type="dxa"/>
          </w:tcPr>
          <w:p w:rsidR="00C02512" w:rsidRDefault="001D4B06">
            <w:pPr>
              <w:pStyle w:val="Tabellenbody"/>
            </w:pPr>
            <w:bookmarkStart w:id="50" w:name="ID0EZFAC"/>
            <w:bookmarkEnd w:id="50"/>
            <w:r>
              <w:t>Prognose: ASXL-1, EZH-2, RUNX-1, TP53, KRAS</w:t>
            </w:r>
          </w:p>
        </w:tc>
      </w:tr>
      <w:tr w:rsidR="00C02512">
        <w:tc>
          <w:tcPr>
            <w:tcW w:w="3814" w:type="dxa"/>
          </w:tcPr>
          <w:p w:rsidR="00C02512" w:rsidRDefault="001D4B06">
            <w:pPr>
              <w:pStyle w:val="Tabellenbody"/>
            </w:pPr>
            <w:bookmarkStart w:id="51" w:name="ID0EGGAC"/>
            <w:bookmarkEnd w:id="51"/>
            <w:r>
              <w:t>Vitamin B12</w:t>
            </w:r>
          </w:p>
        </w:tc>
        <w:tc>
          <w:tcPr>
            <w:tcW w:w="5825" w:type="dxa"/>
          </w:tcPr>
          <w:p w:rsidR="00C02512" w:rsidRDefault="001D4B06">
            <w:pPr>
              <w:pStyle w:val="Tabellenbody"/>
            </w:pPr>
            <w:bookmarkStart w:id="52" w:name="ID0ERGAC"/>
            <w:bookmarkEnd w:id="52"/>
            <w:r>
              <w:t>Splicing: SF3B1, U2AF1, SRSF2</w:t>
            </w:r>
          </w:p>
        </w:tc>
      </w:tr>
      <w:tr w:rsidR="00C02512">
        <w:tc>
          <w:tcPr>
            <w:tcW w:w="3814" w:type="dxa"/>
          </w:tcPr>
          <w:p w:rsidR="00C02512" w:rsidRDefault="001D4B06">
            <w:pPr>
              <w:pStyle w:val="Tabellenbody"/>
            </w:pPr>
            <w:bookmarkStart w:id="53" w:name="ID0E6GAC"/>
            <w:bookmarkEnd w:id="53"/>
            <w:r>
              <w:t>Ggf. HLA-Typisierung</w:t>
            </w:r>
          </w:p>
        </w:tc>
        <w:tc>
          <w:tcPr>
            <w:tcW w:w="5825" w:type="dxa"/>
          </w:tcPr>
          <w:p w:rsidR="00C02512" w:rsidRDefault="00C02512">
            <w:pPr>
              <w:pStyle w:val="Tabellenbody"/>
            </w:pPr>
          </w:p>
        </w:tc>
      </w:tr>
    </w:tbl>
    <w:p w:rsidR="00C02512" w:rsidRDefault="001D4B06">
      <w:bookmarkStart w:id="54" w:name="ID0ELHAC"/>
      <w:bookmarkEnd w:id="54"/>
      <w:r>
        <w:t>Einen zunehmenden Stellenwert erlangt die Immunphänotypisierung als Hilfsmittel zum Abschätzen des Blastenanteils und zur Darstellung von Dysplasiezeichen. Allerdings darf die Genauigkeit dieser Methode in der Routine nicht überschätzt werden.</w:t>
      </w:r>
    </w:p>
    <w:p w:rsidR="00C02512" w:rsidRDefault="001D4B06">
      <w:bookmarkStart w:id="55" w:name="ID0EOHAC"/>
      <w:bookmarkEnd w:id="55"/>
      <w:r>
        <w:t>Eine Vielzah</w:t>
      </w:r>
      <w:r>
        <w:t xml:space="preserve">l von molekularen Markern (eine aktuelle und klinisch relevante Auswahl an Markern ist in </w:t>
      </w:r>
      <w:hyperlink w:anchor="ID0EIFBG" w:history="1">
        <w:r>
          <w:rPr>
            <w:rStyle w:val="Hyperlink"/>
          </w:rPr>
          <w:t>Tabelle 5</w:t>
        </w:r>
      </w:hyperlink>
      <w:r>
        <w:t xml:space="preserve"> dargestellt) erlauben inzwischen, die Diagnose eines MDS zu unterstützen bzw. die Prognose (in Ergänzung zu den etablierten klin</w:t>
      </w:r>
      <w:r>
        <w:t xml:space="preserve">ischen und zytogenetischen Veränderungen) zu bestimmen </w:t>
      </w:r>
      <w:r>
        <w:rPr>
          <w:rStyle w:val="Literaturverweis"/>
        </w:rPr>
        <w:t>[</w:t>
      </w:r>
      <w:hyperlink w:anchor="litID0EWXBI" w:history="1">
        <w:r>
          <w:rPr>
            <w:rStyle w:val="Literaturverweis"/>
          </w:rPr>
          <w:t>7</w:t>
        </w:r>
      </w:hyperlink>
      <w:r>
        <w:rPr>
          <w:rStyle w:val="Literaturverweis"/>
        </w:rPr>
        <w:t>]</w:t>
      </w:r>
      <w:r>
        <w:t>. Insbesondere bei Patienten mit normalem Karyotyp können zusätzliche molekulare Analysen hilfreich sein, wenn daraus zum einen der klonale Charakter der Erkrankung ge</w:t>
      </w:r>
      <w:r>
        <w:t>zeigt werden kann und wenn zum anderen eine therapeutische Konsequenz daraus resultiert. Dies ist allerdings nur bei wenigen Patienten der Fall. Die Bestimmung von LDH, Ferritin und endogenem Erythropoetinspiegel komplettiert die Basisdiagnostik.</w:t>
      </w:r>
    </w:p>
    <w:p w:rsidR="00C02512" w:rsidRDefault="001D4B06">
      <w:pPr>
        <w:pStyle w:val="berschrift2"/>
      </w:pPr>
      <w:bookmarkStart w:id="56" w:name="ID0EBIAC"/>
      <w:bookmarkEnd w:id="56"/>
      <w:r>
        <w:t>Klassifik</w:t>
      </w:r>
      <w:r>
        <w:t>ation</w:t>
      </w:r>
    </w:p>
    <w:p w:rsidR="00C02512" w:rsidRDefault="001D4B06">
      <w:bookmarkStart w:id="57" w:name="ID0EHIAC"/>
      <w:bookmarkEnd w:id="57"/>
      <w:r>
        <w:t>Die traditionell den MDS zugeordneten Typen werden in der aktuellen WHO-Klassifikation in 2 große Gruppen eingeteilt: Neben den reinen MDS wird eine Gruppe von gemischten myelodysplastisch-myeloproliferativen Neoplasien abgegrenzt. Der von der akuten</w:t>
      </w:r>
      <w:r>
        <w:t xml:space="preserve"> Leukämie diskriminierende Blastenanteil liegt in Blut und Knochenmark bei 20 %. Der aktuell gültige Prognosescore für die MDS (IPSS-R) umfasst jedoch weiterhin Patienten mit bis zu 30 % Blasten. Erforderlich aus diagnostischen, aber auch prognostischen un</w:t>
      </w:r>
      <w:r>
        <w:t xml:space="preserve">d therapeutischen Erwägungen ist eine Chromosomenanalyse. Hilfreich ist zudem die </w:t>
      </w:r>
      <w:r>
        <w:lastRenderedPageBreak/>
        <w:t xml:space="preserve">histologische Untersuchung einer Beckenstanze, insbesondere zur Beurteilung der Zellularität und einer möglicherweise vorliegenden Fibrose </w:t>
      </w:r>
      <w:r>
        <w:rPr>
          <w:rStyle w:val="Literaturverweis"/>
        </w:rPr>
        <w:t>[</w:t>
      </w:r>
      <w:hyperlink w:anchor="litID0EGXBI" w:history="1">
        <w:r>
          <w:rPr>
            <w:rStyle w:val="Literaturverweis"/>
          </w:rPr>
          <w:t>6</w:t>
        </w:r>
      </w:hyperlink>
      <w:r>
        <w:rPr>
          <w:rStyle w:val="Literaturverweis"/>
        </w:rPr>
        <w:t>]</w:t>
      </w:r>
      <w:r>
        <w:t>.</w:t>
      </w:r>
    </w:p>
    <w:p w:rsidR="00C02512" w:rsidRDefault="001D4B06">
      <w:bookmarkStart w:id="58" w:name="ID0EQIAC"/>
      <w:bookmarkEnd w:id="58"/>
      <w:r>
        <w:t>In der WHO-Klassifikation aus dem Jahre 2016 sind neben neuen Termini (RCUD = MDSSLD, MDS mit single lineage dysplasia, RCMD = MDSMLD, MDS mit multilineage dysplasia, RAEB = MDSEB) drei wesentliche Änderungen vollzogen worden: 1). Die Gruppe der multiline</w:t>
      </w:r>
      <w:r>
        <w:t>är dysplastischen MDS ohne Blastenvermehrung aber Ringsideroblasten und/oder SF3B1 Mutation ist wieder als eigenständige Entität definiert worden (ehemals RCMD-RS). 2) Die Gruppe der MDS del(5q) ist erweitert worden um jene Patienten, die neben der del(5q)</w:t>
      </w:r>
      <w:r>
        <w:t xml:space="preserve"> auch eine einzelne weitere chromosomale Aberration haben. Nur Patienten mit einer Zusatzanomalie von Chromosom 7 werden weiterhin nicht in der Gruppe der MDS del(5q) geführt. 3) Die Gruppe der CMML wird nun entsprechend dem peripheren und medullären Blast</w:t>
      </w:r>
      <w:r>
        <w:t>enanteil in 3 Gruppen unterteilt (</w:t>
      </w:r>
      <w:hyperlink w:anchor="ID0E51AG" w:history="1">
        <w:r>
          <w:rPr>
            <w:rStyle w:val="Hyperlink"/>
          </w:rPr>
          <w:t>Tabelle 4</w:t>
        </w:r>
      </w:hyperlink>
      <w:r>
        <w:t>). Zudem sind Definitionen der Zytopenien exakter beschrieben (</w:t>
      </w:r>
      <w:hyperlink w:anchor="ID0EEJAC" w:history="1">
        <w:r>
          <w:rPr>
            <w:rStyle w:val="Hyperlink"/>
          </w:rPr>
          <w:t>Tabelle 2</w:t>
        </w:r>
      </w:hyperlink>
      <w:r>
        <w:t xml:space="preserve">). </w:t>
      </w:r>
    </w:p>
    <w:p w:rsidR="00C02512" w:rsidRDefault="001D4B06">
      <w:pPr>
        <w:pStyle w:val="Tabellenbeschriftung"/>
      </w:pPr>
      <w:bookmarkStart w:id="59" w:name="ID0EEJAC"/>
      <w:r>
        <w:t>Tabelle 2</w:t>
      </w:r>
      <w:bookmarkEnd w:id="59"/>
      <w:r>
        <w:t xml:space="preserve">: </w:t>
      </w:r>
      <w:r>
        <w:t>WHO-Klassifikation (2016) myelodysplastischer Syndrome</w:t>
      </w:r>
    </w:p>
    <w:tbl>
      <w:tblPr>
        <w:tblStyle w:val="TabelleKomplett"/>
        <w:tblW w:w="9640" w:type="dxa"/>
        <w:tblLayout w:type="fixed"/>
        <w:tblLook w:val="04A0" w:firstRow="1" w:lastRow="0" w:firstColumn="1" w:lastColumn="0" w:noHBand="0" w:noVBand="1"/>
      </w:tblPr>
      <w:tblGrid>
        <w:gridCol w:w="1945"/>
        <w:gridCol w:w="605"/>
        <w:gridCol w:w="704"/>
        <w:gridCol w:w="1452"/>
        <w:gridCol w:w="2114"/>
        <w:gridCol w:w="2820"/>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1943" w:type="dxa"/>
          </w:tcPr>
          <w:p w:rsidR="00C02512" w:rsidRDefault="001D4B06">
            <w:pPr>
              <w:pStyle w:val="Tabellenkopf"/>
            </w:pPr>
            <w:bookmarkStart w:id="60" w:name="ID0EOKAC"/>
            <w:bookmarkEnd w:id="60"/>
            <w:r>
              <w:t>Kategorie</w:t>
            </w:r>
          </w:p>
        </w:tc>
        <w:tc>
          <w:tcPr>
            <w:tcW w:w="605" w:type="dxa"/>
          </w:tcPr>
          <w:p w:rsidR="00C02512" w:rsidRDefault="001D4B06">
            <w:pPr>
              <w:pStyle w:val="Tabellenkopf"/>
            </w:pPr>
            <w:bookmarkStart w:id="61" w:name="ID0E4KAC"/>
            <w:bookmarkEnd w:id="61"/>
            <w:r>
              <w:t>Dysplastische Reihen</w:t>
            </w:r>
          </w:p>
        </w:tc>
        <w:tc>
          <w:tcPr>
            <w:tcW w:w="704" w:type="dxa"/>
          </w:tcPr>
          <w:p w:rsidR="00C02512" w:rsidRDefault="001D4B06">
            <w:pPr>
              <w:pStyle w:val="Tabellenkopf"/>
            </w:pPr>
            <w:bookmarkStart w:id="62" w:name="ID0EMLAC"/>
            <w:bookmarkEnd w:id="62"/>
            <w:r>
              <w:t>Zyto</w:t>
            </w:r>
            <w:r>
              <w:br/>
            </w:r>
            <w:r>
              <w:t>pe</w:t>
            </w:r>
            <w:r>
              <w:br/>
            </w:r>
            <w:r>
              <w:t>nien</w:t>
            </w:r>
            <w:r>
              <w:rPr>
                <w:vertAlign w:val="superscript"/>
              </w:rPr>
              <w:t>1</w:t>
            </w:r>
          </w:p>
        </w:tc>
        <w:tc>
          <w:tcPr>
            <w:tcW w:w="1451" w:type="dxa"/>
          </w:tcPr>
          <w:p w:rsidR="00C02512" w:rsidRDefault="001D4B06">
            <w:pPr>
              <w:pStyle w:val="Tabellenkopf"/>
            </w:pPr>
            <w:bookmarkStart w:id="63" w:name="ID0EAMAC"/>
            <w:bookmarkEnd w:id="63"/>
            <w:r>
              <w:t>Ring sideroblasten ( % der erythroiden Zellen)</w:t>
            </w:r>
          </w:p>
        </w:tc>
        <w:tc>
          <w:tcPr>
            <w:tcW w:w="2113" w:type="dxa"/>
          </w:tcPr>
          <w:p w:rsidR="00C02512" w:rsidRDefault="001D4B06">
            <w:pPr>
              <w:pStyle w:val="Tabellenkopf"/>
            </w:pPr>
            <w:bookmarkStart w:id="64" w:name="ID0EPMAC"/>
            <w:bookmarkEnd w:id="64"/>
            <w:r>
              <w:t>Blasten im Knochenmark (BM) und peripherem Blut (PB)</w:t>
            </w:r>
          </w:p>
        </w:tc>
        <w:tc>
          <w:tcPr>
            <w:tcW w:w="2819" w:type="dxa"/>
          </w:tcPr>
          <w:p w:rsidR="00C02512" w:rsidRDefault="001D4B06">
            <w:pPr>
              <w:pStyle w:val="Tabellenkopf"/>
            </w:pPr>
            <w:bookmarkStart w:id="65" w:name="ID0E5MAC"/>
            <w:bookmarkEnd w:id="65"/>
            <w:r>
              <w:t>Karyotyp (konventionelle Bänderung)</w:t>
            </w:r>
          </w:p>
        </w:tc>
      </w:tr>
      <w:tr w:rsidR="00C02512">
        <w:tc>
          <w:tcPr>
            <w:tcW w:w="1943" w:type="dxa"/>
          </w:tcPr>
          <w:p w:rsidR="00C02512" w:rsidRPr="001D4B06" w:rsidRDefault="001D4B06">
            <w:pPr>
              <w:pStyle w:val="Tabellenbody"/>
              <w:rPr>
                <w:lang w:val="en-US"/>
              </w:rPr>
            </w:pPr>
            <w:bookmarkStart w:id="66" w:name="ID0EPNAC"/>
            <w:bookmarkEnd w:id="66"/>
            <w:r w:rsidRPr="001D4B06">
              <w:rPr>
                <w:b/>
                <w:lang w:val="en-US"/>
              </w:rPr>
              <w:t>MDS with single lineage dysplasia (MDS-SLD)</w:t>
            </w:r>
          </w:p>
        </w:tc>
        <w:tc>
          <w:tcPr>
            <w:tcW w:w="605" w:type="dxa"/>
          </w:tcPr>
          <w:p w:rsidR="00C02512" w:rsidRDefault="001D4B06">
            <w:pPr>
              <w:pStyle w:val="Tabellenbody"/>
            </w:pPr>
            <w:bookmarkStart w:id="67" w:name="ID0E6NAC"/>
            <w:bookmarkEnd w:id="67"/>
            <w:r>
              <w:t>1</w:t>
            </w:r>
          </w:p>
        </w:tc>
        <w:tc>
          <w:tcPr>
            <w:tcW w:w="704" w:type="dxa"/>
          </w:tcPr>
          <w:p w:rsidR="00C02512" w:rsidRDefault="001D4B06">
            <w:pPr>
              <w:pStyle w:val="Tabellenbody"/>
            </w:pPr>
            <w:bookmarkStart w:id="68" w:name="ID0EPOAC"/>
            <w:bookmarkEnd w:id="68"/>
            <w:r>
              <w:t>1 or 2</w:t>
            </w:r>
          </w:p>
        </w:tc>
        <w:tc>
          <w:tcPr>
            <w:tcW w:w="1451" w:type="dxa"/>
          </w:tcPr>
          <w:p w:rsidR="00C02512" w:rsidRDefault="001D4B06">
            <w:pPr>
              <w:pStyle w:val="Tabellenbody"/>
            </w:pPr>
            <w:bookmarkStart w:id="69" w:name="ID0E6OAC"/>
            <w:bookmarkEnd w:id="69"/>
            <w:r>
              <w:t>&lt;15 % / &lt;5 %</w:t>
            </w:r>
            <w:r>
              <w:rPr>
                <w:vertAlign w:val="superscript"/>
              </w:rPr>
              <w:t>2</w:t>
            </w:r>
          </w:p>
        </w:tc>
        <w:tc>
          <w:tcPr>
            <w:tcW w:w="2113" w:type="dxa"/>
          </w:tcPr>
          <w:p w:rsidR="00C02512" w:rsidRDefault="001D4B06">
            <w:pPr>
              <w:pStyle w:val="Tabellenbody"/>
            </w:pPr>
            <w:bookmarkStart w:id="70" w:name="ID0EQPAC"/>
            <w:bookmarkEnd w:id="70"/>
            <w:r>
              <w:t>BM &lt;5 %, PB &lt;1 %,</w:t>
            </w:r>
          </w:p>
          <w:p w:rsidR="00C02512" w:rsidRDefault="001D4B06">
            <w:pPr>
              <w:pStyle w:val="Tabellenbody"/>
            </w:pPr>
            <w:bookmarkStart w:id="71" w:name="ID0EUPAC"/>
            <w:bookmarkEnd w:id="71"/>
            <w:r>
              <w:t>keine Auer Stäbchen</w:t>
            </w:r>
          </w:p>
        </w:tc>
        <w:tc>
          <w:tcPr>
            <w:tcW w:w="2819" w:type="dxa"/>
          </w:tcPr>
          <w:p w:rsidR="00C02512" w:rsidRDefault="001D4B06">
            <w:pPr>
              <w:pStyle w:val="Tabellenbody"/>
            </w:pPr>
            <w:bookmarkStart w:id="72" w:name="ID0EFAAE"/>
            <w:bookmarkEnd w:id="72"/>
            <w:r>
              <w:t>Alle, außer del(5q) +- 1 andere non-chr 7 Aberration</w:t>
            </w:r>
          </w:p>
        </w:tc>
      </w:tr>
      <w:tr w:rsidR="00C02512">
        <w:tc>
          <w:tcPr>
            <w:tcW w:w="1943" w:type="dxa"/>
          </w:tcPr>
          <w:p w:rsidR="00C02512" w:rsidRPr="001D4B06" w:rsidRDefault="001D4B06">
            <w:pPr>
              <w:pStyle w:val="Tabellenbody"/>
              <w:rPr>
                <w:lang w:val="en-US"/>
              </w:rPr>
            </w:pPr>
            <w:bookmarkStart w:id="73" w:name="ID0EWAAE"/>
            <w:bookmarkEnd w:id="73"/>
            <w:r w:rsidRPr="001D4B06">
              <w:rPr>
                <w:b/>
                <w:lang w:val="en-US"/>
              </w:rPr>
              <w:t>MDS with multilineage dysplasia (MDS-MLD)</w:t>
            </w:r>
          </w:p>
        </w:tc>
        <w:tc>
          <w:tcPr>
            <w:tcW w:w="605" w:type="dxa"/>
          </w:tcPr>
          <w:p w:rsidR="00C02512" w:rsidRDefault="001D4B06">
            <w:pPr>
              <w:pStyle w:val="Tabellenbody"/>
            </w:pPr>
            <w:bookmarkStart w:id="74" w:name="ID0EGBAE"/>
            <w:bookmarkEnd w:id="74"/>
            <w:r>
              <w:t>2 or 3</w:t>
            </w:r>
          </w:p>
        </w:tc>
        <w:tc>
          <w:tcPr>
            <w:tcW w:w="704" w:type="dxa"/>
          </w:tcPr>
          <w:p w:rsidR="00C02512" w:rsidRDefault="001D4B06">
            <w:pPr>
              <w:pStyle w:val="Tabellenbody"/>
            </w:pPr>
            <w:bookmarkStart w:id="75" w:name="ID0EWBAE"/>
            <w:bookmarkEnd w:id="75"/>
            <w:r>
              <w:t>1-3</w:t>
            </w:r>
          </w:p>
        </w:tc>
        <w:tc>
          <w:tcPr>
            <w:tcW w:w="1451" w:type="dxa"/>
          </w:tcPr>
          <w:p w:rsidR="00C02512" w:rsidRDefault="001D4B06">
            <w:pPr>
              <w:pStyle w:val="Tabellenbody"/>
            </w:pPr>
            <w:bookmarkStart w:id="76" w:name="ID0EGCAE"/>
            <w:bookmarkEnd w:id="76"/>
            <w:r>
              <w:t>&lt;15 % / &lt;5 %</w:t>
            </w:r>
            <w:r>
              <w:rPr>
                <w:vertAlign w:val="superscript"/>
              </w:rPr>
              <w:t>2</w:t>
            </w:r>
          </w:p>
        </w:tc>
        <w:tc>
          <w:tcPr>
            <w:tcW w:w="2113" w:type="dxa"/>
          </w:tcPr>
          <w:p w:rsidR="00C02512" w:rsidRDefault="001D4B06">
            <w:pPr>
              <w:pStyle w:val="Tabellenbody"/>
            </w:pPr>
            <w:bookmarkStart w:id="77" w:name="ID0EXCAE"/>
            <w:bookmarkEnd w:id="77"/>
            <w:r>
              <w:t>BM &lt;5 %, PB &lt;1 %,</w:t>
            </w:r>
          </w:p>
          <w:p w:rsidR="00C02512" w:rsidRDefault="001D4B06">
            <w:pPr>
              <w:pStyle w:val="Tabellenbody"/>
            </w:pPr>
            <w:bookmarkStart w:id="78" w:name="ID0E2CAE"/>
            <w:bookmarkEnd w:id="78"/>
            <w:r>
              <w:t>keine Auer Stäbchen</w:t>
            </w:r>
          </w:p>
        </w:tc>
        <w:tc>
          <w:tcPr>
            <w:tcW w:w="2819" w:type="dxa"/>
          </w:tcPr>
          <w:p w:rsidR="00C02512" w:rsidRDefault="001D4B06">
            <w:pPr>
              <w:pStyle w:val="Tabellenbody"/>
            </w:pPr>
            <w:bookmarkStart w:id="79" w:name="ID0ELDAE"/>
            <w:bookmarkEnd w:id="79"/>
            <w:r>
              <w:t>Alle, außer del(5q) +- 1 andere non-chr 7 Aberration</w:t>
            </w:r>
          </w:p>
        </w:tc>
      </w:tr>
      <w:tr w:rsidR="00C02512" w:rsidRPr="001D4B06">
        <w:tc>
          <w:tcPr>
            <w:tcW w:w="1943" w:type="dxa"/>
          </w:tcPr>
          <w:p w:rsidR="00C02512" w:rsidRPr="001D4B06" w:rsidRDefault="001D4B06">
            <w:pPr>
              <w:pStyle w:val="Tabellenbody"/>
              <w:rPr>
                <w:lang w:val="en-US"/>
              </w:rPr>
            </w:pPr>
            <w:bookmarkStart w:id="80" w:name="ID0E3DAE"/>
            <w:bookmarkEnd w:id="80"/>
            <w:r w:rsidRPr="001D4B06">
              <w:rPr>
                <w:b/>
                <w:lang w:val="en-US"/>
              </w:rPr>
              <w:t>MDS with ring sideroblasts (MDS-RS)</w:t>
            </w:r>
          </w:p>
        </w:tc>
        <w:tc>
          <w:tcPr>
            <w:tcW w:w="605" w:type="dxa"/>
          </w:tcPr>
          <w:p w:rsidR="00C02512" w:rsidRPr="001D4B06" w:rsidRDefault="00C02512">
            <w:pPr>
              <w:pStyle w:val="Tabellenbody"/>
              <w:rPr>
                <w:lang w:val="en-US"/>
              </w:rPr>
            </w:pPr>
          </w:p>
        </w:tc>
        <w:tc>
          <w:tcPr>
            <w:tcW w:w="704" w:type="dxa"/>
          </w:tcPr>
          <w:p w:rsidR="00C02512" w:rsidRPr="001D4B06" w:rsidRDefault="00C02512">
            <w:pPr>
              <w:pStyle w:val="Tabellenbody"/>
              <w:rPr>
                <w:lang w:val="en-US"/>
              </w:rPr>
            </w:pPr>
          </w:p>
        </w:tc>
        <w:tc>
          <w:tcPr>
            <w:tcW w:w="1451" w:type="dxa"/>
          </w:tcPr>
          <w:p w:rsidR="00C02512" w:rsidRPr="001D4B06" w:rsidRDefault="00C02512">
            <w:pPr>
              <w:pStyle w:val="Tabellenbody"/>
              <w:rPr>
                <w:lang w:val="en-US"/>
              </w:rPr>
            </w:pPr>
          </w:p>
        </w:tc>
        <w:tc>
          <w:tcPr>
            <w:tcW w:w="2113" w:type="dxa"/>
          </w:tcPr>
          <w:p w:rsidR="00C02512" w:rsidRPr="001D4B06" w:rsidRDefault="00C02512">
            <w:pPr>
              <w:pStyle w:val="Tabellenbody"/>
              <w:rPr>
                <w:lang w:val="en-US"/>
              </w:rPr>
            </w:pPr>
          </w:p>
        </w:tc>
        <w:tc>
          <w:tcPr>
            <w:tcW w:w="2819" w:type="dxa"/>
          </w:tcPr>
          <w:p w:rsidR="00C02512" w:rsidRPr="001D4B06" w:rsidRDefault="00C02512">
            <w:pPr>
              <w:pStyle w:val="Tabellenbody"/>
              <w:rPr>
                <w:lang w:val="en-US"/>
              </w:rPr>
            </w:pPr>
          </w:p>
        </w:tc>
      </w:tr>
      <w:tr w:rsidR="00C02512">
        <w:tc>
          <w:tcPr>
            <w:tcW w:w="1943" w:type="dxa"/>
          </w:tcPr>
          <w:p w:rsidR="00C02512" w:rsidRPr="001D4B06" w:rsidRDefault="001D4B06">
            <w:pPr>
              <w:pStyle w:val="Tabellenbody"/>
              <w:rPr>
                <w:lang w:val="en-US"/>
              </w:rPr>
            </w:pPr>
            <w:bookmarkStart w:id="81" w:name="ID0EJGAE"/>
            <w:bookmarkEnd w:id="81"/>
            <w:r w:rsidRPr="001D4B06">
              <w:rPr>
                <w:b/>
                <w:lang w:val="en-US"/>
              </w:rPr>
              <w:t>MDS-RS with single lineage dysplasia (MDS-RS-SLD)</w:t>
            </w:r>
          </w:p>
        </w:tc>
        <w:tc>
          <w:tcPr>
            <w:tcW w:w="605" w:type="dxa"/>
          </w:tcPr>
          <w:p w:rsidR="00C02512" w:rsidRDefault="001D4B06">
            <w:pPr>
              <w:pStyle w:val="Tabellenbody"/>
            </w:pPr>
            <w:bookmarkStart w:id="82" w:name="ID0EZGAE"/>
            <w:bookmarkEnd w:id="82"/>
            <w:r>
              <w:t>1</w:t>
            </w:r>
          </w:p>
        </w:tc>
        <w:tc>
          <w:tcPr>
            <w:tcW w:w="704" w:type="dxa"/>
          </w:tcPr>
          <w:p w:rsidR="00C02512" w:rsidRDefault="001D4B06">
            <w:pPr>
              <w:pStyle w:val="Tabellenbody"/>
            </w:pPr>
            <w:bookmarkStart w:id="83" w:name="ID0EJHAE"/>
            <w:bookmarkEnd w:id="83"/>
            <w:r>
              <w:t>1 or 2</w:t>
            </w:r>
          </w:p>
        </w:tc>
        <w:tc>
          <w:tcPr>
            <w:tcW w:w="1451" w:type="dxa"/>
          </w:tcPr>
          <w:p w:rsidR="00C02512" w:rsidRDefault="001D4B06">
            <w:pPr>
              <w:pStyle w:val="Tabellenbody"/>
            </w:pPr>
            <w:bookmarkStart w:id="84" w:name="ID0EZHAE"/>
            <w:bookmarkEnd w:id="84"/>
            <w:r>
              <w:t>≥15 % / ≥5 %</w:t>
            </w:r>
            <w:r>
              <w:rPr>
                <w:vertAlign w:val="superscript"/>
              </w:rPr>
              <w:t xml:space="preserve">2 </w:t>
            </w:r>
          </w:p>
        </w:tc>
        <w:tc>
          <w:tcPr>
            <w:tcW w:w="2113" w:type="dxa"/>
          </w:tcPr>
          <w:p w:rsidR="00C02512" w:rsidRDefault="001D4B06">
            <w:pPr>
              <w:pStyle w:val="Tabellenbody"/>
            </w:pPr>
            <w:bookmarkStart w:id="85" w:name="ID0EKIAE"/>
            <w:bookmarkEnd w:id="85"/>
            <w:r>
              <w:t xml:space="preserve">BM &lt;5 %, PB &lt;1 %, </w:t>
            </w:r>
          </w:p>
          <w:p w:rsidR="00C02512" w:rsidRDefault="001D4B06">
            <w:pPr>
              <w:pStyle w:val="Tabellenbody"/>
            </w:pPr>
            <w:bookmarkStart w:id="86" w:name="ID0EOIAE"/>
            <w:bookmarkEnd w:id="86"/>
            <w:r>
              <w:t>keine Auer Stäbchen</w:t>
            </w:r>
          </w:p>
        </w:tc>
        <w:tc>
          <w:tcPr>
            <w:tcW w:w="2819" w:type="dxa"/>
          </w:tcPr>
          <w:p w:rsidR="00C02512" w:rsidRDefault="001D4B06">
            <w:pPr>
              <w:pStyle w:val="Tabellenbody"/>
            </w:pPr>
            <w:bookmarkStart w:id="87" w:name="ID0E5IAE"/>
            <w:bookmarkEnd w:id="87"/>
            <w:r>
              <w:t>Alle, außer del(5q) +- 1 andere non-chr 7 Aberration 5q</w:t>
            </w:r>
          </w:p>
        </w:tc>
      </w:tr>
      <w:tr w:rsidR="00C02512">
        <w:tc>
          <w:tcPr>
            <w:tcW w:w="1943" w:type="dxa"/>
          </w:tcPr>
          <w:p w:rsidR="00C02512" w:rsidRPr="001D4B06" w:rsidRDefault="001D4B06">
            <w:pPr>
              <w:pStyle w:val="Tabellenbody"/>
              <w:rPr>
                <w:lang w:val="en-US"/>
              </w:rPr>
            </w:pPr>
            <w:bookmarkStart w:id="88" w:name="ID0EPJAE"/>
            <w:bookmarkEnd w:id="88"/>
            <w:r w:rsidRPr="001D4B06">
              <w:rPr>
                <w:b/>
                <w:lang w:val="en-US"/>
              </w:rPr>
              <w:t xml:space="preserve">MDS-RS with multilineage dysplasia </w:t>
            </w:r>
          </w:p>
          <w:p w:rsidR="00C02512" w:rsidRPr="001D4B06" w:rsidRDefault="001D4B06">
            <w:pPr>
              <w:pStyle w:val="Tabellenbody"/>
              <w:rPr>
                <w:lang w:val="en-US"/>
              </w:rPr>
            </w:pPr>
            <w:bookmarkStart w:id="89" w:name="ID0ETJAE"/>
            <w:bookmarkEnd w:id="89"/>
            <w:r w:rsidRPr="001D4B06">
              <w:rPr>
                <w:b/>
                <w:lang w:val="en-US"/>
              </w:rPr>
              <w:t>(MDS-RS-MLD)</w:t>
            </w:r>
          </w:p>
        </w:tc>
        <w:tc>
          <w:tcPr>
            <w:tcW w:w="605" w:type="dxa"/>
          </w:tcPr>
          <w:p w:rsidR="00C02512" w:rsidRDefault="001D4B06">
            <w:pPr>
              <w:pStyle w:val="Tabellenbody"/>
            </w:pPr>
            <w:bookmarkStart w:id="90" w:name="ID0EDKAE"/>
            <w:bookmarkEnd w:id="90"/>
            <w:r>
              <w:t>2 or 3</w:t>
            </w:r>
          </w:p>
        </w:tc>
        <w:tc>
          <w:tcPr>
            <w:tcW w:w="704" w:type="dxa"/>
          </w:tcPr>
          <w:p w:rsidR="00C02512" w:rsidRDefault="001D4B06">
            <w:pPr>
              <w:pStyle w:val="Tabellenbody"/>
            </w:pPr>
            <w:bookmarkStart w:id="91" w:name="ID0ETKAE"/>
            <w:bookmarkEnd w:id="91"/>
            <w:r>
              <w:t>1-3</w:t>
            </w:r>
          </w:p>
        </w:tc>
        <w:tc>
          <w:tcPr>
            <w:tcW w:w="1451" w:type="dxa"/>
          </w:tcPr>
          <w:p w:rsidR="00C02512" w:rsidRDefault="001D4B06">
            <w:pPr>
              <w:pStyle w:val="Tabellenbody"/>
            </w:pPr>
            <w:bookmarkStart w:id="92" w:name="ID0EDLAE"/>
            <w:bookmarkEnd w:id="92"/>
            <w:r>
              <w:t>≥15 % / ≥5 %</w:t>
            </w:r>
            <w:r>
              <w:rPr>
                <w:vertAlign w:val="superscript"/>
              </w:rPr>
              <w:t xml:space="preserve">2 </w:t>
            </w:r>
          </w:p>
        </w:tc>
        <w:tc>
          <w:tcPr>
            <w:tcW w:w="2113" w:type="dxa"/>
          </w:tcPr>
          <w:p w:rsidR="00C02512" w:rsidRDefault="001D4B06">
            <w:pPr>
              <w:pStyle w:val="Tabellenbody"/>
            </w:pPr>
            <w:bookmarkStart w:id="93" w:name="ID0EULAE"/>
            <w:bookmarkEnd w:id="93"/>
            <w:r>
              <w:t xml:space="preserve">BM &lt;5 %, PB &lt;1 %, </w:t>
            </w:r>
          </w:p>
          <w:p w:rsidR="00C02512" w:rsidRDefault="001D4B06">
            <w:pPr>
              <w:pStyle w:val="Tabellenbody"/>
            </w:pPr>
            <w:bookmarkStart w:id="94" w:name="ID0EYLAE"/>
            <w:bookmarkEnd w:id="94"/>
            <w:r>
              <w:t>keine Auer Stäbchen</w:t>
            </w:r>
          </w:p>
        </w:tc>
        <w:tc>
          <w:tcPr>
            <w:tcW w:w="2819" w:type="dxa"/>
          </w:tcPr>
          <w:p w:rsidR="00C02512" w:rsidRDefault="001D4B06">
            <w:pPr>
              <w:pStyle w:val="Tabellenbody"/>
            </w:pPr>
            <w:bookmarkStart w:id="95" w:name="ID0EIMAE"/>
            <w:bookmarkEnd w:id="95"/>
            <w:r>
              <w:t>Alle, außer del(5q) +- 1 andere non-chr 7 Aberration</w:t>
            </w:r>
          </w:p>
        </w:tc>
      </w:tr>
      <w:tr w:rsidR="00C02512">
        <w:tc>
          <w:tcPr>
            <w:tcW w:w="1943" w:type="dxa"/>
          </w:tcPr>
          <w:p w:rsidR="00C02512" w:rsidRDefault="001D4B06">
            <w:pPr>
              <w:pStyle w:val="Tabellenbody"/>
            </w:pPr>
            <w:bookmarkStart w:id="96" w:name="ID0EZMAE"/>
            <w:bookmarkEnd w:id="96"/>
            <w:r>
              <w:rPr>
                <w:b/>
              </w:rPr>
              <w:t>MDS with del(5q)</w:t>
            </w:r>
          </w:p>
        </w:tc>
        <w:tc>
          <w:tcPr>
            <w:tcW w:w="605" w:type="dxa"/>
          </w:tcPr>
          <w:p w:rsidR="00C02512" w:rsidRDefault="001D4B06">
            <w:pPr>
              <w:pStyle w:val="Tabellenbody"/>
            </w:pPr>
            <w:bookmarkStart w:id="97" w:name="ID0EJNAE"/>
            <w:bookmarkEnd w:id="97"/>
            <w:r>
              <w:t>1-3</w:t>
            </w:r>
          </w:p>
        </w:tc>
        <w:tc>
          <w:tcPr>
            <w:tcW w:w="704" w:type="dxa"/>
          </w:tcPr>
          <w:p w:rsidR="00C02512" w:rsidRDefault="001D4B06">
            <w:pPr>
              <w:pStyle w:val="Tabellenbody"/>
            </w:pPr>
            <w:bookmarkStart w:id="98" w:name="ID0EZNAE"/>
            <w:bookmarkEnd w:id="98"/>
            <w:r>
              <w:t>1-3</w:t>
            </w:r>
          </w:p>
        </w:tc>
        <w:tc>
          <w:tcPr>
            <w:tcW w:w="1451" w:type="dxa"/>
          </w:tcPr>
          <w:p w:rsidR="00C02512" w:rsidRDefault="001D4B06">
            <w:pPr>
              <w:pStyle w:val="Tabellenbody"/>
            </w:pPr>
            <w:bookmarkStart w:id="99" w:name="ID0EJOAE"/>
            <w:bookmarkEnd w:id="99"/>
            <w:r>
              <w:t>irrelevant</w:t>
            </w:r>
          </w:p>
        </w:tc>
        <w:tc>
          <w:tcPr>
            <w:tcW w:w="2113" w:type="dxa"/>
          </w:tcPr>
          <w:p w:rsidR="00C02512" w:rsidRDefault="001D4B06">
            <w:pPr>
              <w:pStyle w:val="Tabellenbody"/>
            </w:pPr>
            <w:bookmarkStart w:id="100" w:name="ID0EZOAE"/>
            <w:bookmarkEnd w:id="100"/>
            <w:r>
              <w:t>BM &lt;5 %, PB &lt;1 %,</w:t>
            </w:r>
          </w:p>
          <w:p w:rsidR="00C02512" w:rsidRDefault="001D4B06">
            <w:pPr>
              <w:pStyle w:val="Tabellenbody"/>
            </w:pPr>
            <w:bookmarkStart w:id="101" w:name="ID0E4OAE"/>
            <w:bookmarkEnd w:id="101"/>
            <w:r>
              <w:t>keine Auer Stäbchen</w:t>
            </w:r>
          </w:p>
        </w:tc>
        <w:tc>
          <w:tcPr>
            <w:tcW w:w="2819" w:type="dxa"/>
          </w:tcPr>
          <w:p w:rsidR="00C02512" w:rsidRDefault="001D4B06">
            <w:pPr>
              <w:pStyle w:val="Tabellenbody"/>
            </w:pPr>
            <w:bookmarkStart w:id="102" w:name="ID0ENPAE"/>
            <w:bookmarkEnd w:id="102"/>
            <w:r>
              <w:t>del(5q) isoliert oder mit 1 anderen non chr 7 Aber</w:t>
            </w:r>
            <w:r>
              <w:t>ration</w:t>
            </w:r>
          </w:p>
        </w:tc>
      </w:tr>
      <w:tr w:rsidR="00C02512" w:rsidRPr="001D4B06">
        <w:tc>
          <w:tcPr>
            <w:tcW w:w="1943" w:type="dxa"/>
          </w:tcPr>
          <w:p w:rsidR="00C02512" w:rsidRPr="001D4B06" w:rsidRDefault="001D4B06">
            <w:pPr>
              <w:pStyle w:val="Tabellenbody"/>
              <w:rPr>
                <w:lang w:val="en-US"/>
              </w:rPr>
            </w:pPr>
            <w:bookmarkStart w:id="103" w:name="ID0E5PAE"/>
            <w:bookmarkEnd w:id="103"/>
            <w:r w:rsidRPr="001D4B06">
              <w:rPr>
                <w:b/>
                <w:lang w:val="en-US"/>
              </w:rPr>
              <w:t>MDS with excess blasts (MDS-EB)</w:t>
            </w:r>
          </w:p>
        </w:tc>
        <w:tc>
          <w:tcPr>
            <w:tcW w:w="605" w:type="dxa"/>
          </w:tcPr>
          <w:p w:rsidR="00C02512" w:rsidRPr="001D4B06" w:rsidRDefault="00C02512">
            <w:pPr>
              <w:pStyle w:val="Tabellenbody"/>
              <w:rPr>
                <w:lang w:val="en-US"/>
              </w:rPr>
            </w:pPr>
          </w:p>
        </w:tc>
        <w:tc>
          <w:tcPr>
            <w:tcW w:w="704" w:type="dxa"/>
          </w:tcPr>
          <w:p w:rsidR="00C02512" w:rsidRPr="001D4B06" w:rsidRDefault="00C02512">
            <w:pPr>
              <w:pStyle w:val="Tabellenbody"/>
              <w:rPr>
                <w:lang w:val="en-US"/>
              </w:rPr>
            </w:pPr>
          </w:p>
        </w:tc>
        <w:tc>
          <w:tcPr>
            <w:tcW w:w="1451" w:type="dxa"/>
          </w:tcPr>
          <w:p w:rsidR="00C02512" w:rsidRPr="001D4B06" w:rsidRDefault="00C02512">
            <w:pPr>
              <w:pStyle w:val="Tabellenbody"/>
              <w:rPr>
                <w:lang w:val="en-US"/>
              </w:rPr>
            </w:pPr>
          </w:p>
        </w:tc>
        <w:tc>
          <w:tcPr>
            <w:tcW w:w="2113" w:type="dxa"/>
          </w:tcPr>
          <w:p w:rsidR="00C02512" w:rsidRPr="001D4B06" w:rsidRDefault="00C02512">
            <w:pPr>
              <w:pStyle w:val="Tabellenbody"/>
              <w:rPr>
                <w:lang w:val="en-US"/>
              </w:rPr>
            </w:pPr>
          </w:p>
        </w:tc>
        <w:tc>
          <w:tcPr>
            <w:tcW w:w="2819" w:type="dxa"/>
          </w:tcPr>
          <w:p w:rsidR="00C02512" w:rsidRPr="001D4B06" w:rsidRDefault="00C02512">
            <w:pPr>
              <w:pStyle w:val="Tabellenbody"/>
              <w:rPr>
                <w:lang w:val="en-US"/>
              </w:rPr>
            </w:pPr>
          </w:p>
        </w:tc>
      </w:tr>
      <w:tr w:rsidR="00C02512">
        <w:tc>
          <w:tcPr>
            <w:tcW w:w="1943" w:type="dxa"/>
          </w:tcPr>
          <w:p w:rsidR="00C02512" w:rsidRDefault="001D4B06">
            <w:pPr>
              <w:pStyle w:val="Tabellenbody"/>
            </w:pPr>
            <w:bookmarkStart w:id="104" w:name="ID0ELSAE"/>
            <w:bookmarkEnd w:id="104"/>
            <w:r>
              <w:rPr>
                <w:b/>
              </w:rPr>
              <w:t>MDS-EB1</w:t>
            </w:r>
          </w:p>
          <w:p w:rsidR="00C02512" w:rsidRDefault="00C02512">
            <w:pPr>
              <w:pStyle w:val="Tabellenbody"/>
            </w:pPr>
            <w:bookmarkStart w:id="105" w:name="ID0EPSAE"/>
            <w:bookmarkEnd w:id="105"/>
          </w:p>
        </w:tc>
        <w:tc>
          <w:tcPr>
            <w:tcW w:w="605" w:type="dxa"/>
          </w:tcPr>
          <w:p w:rsidR="00C02512" w:rsidRDefault="001D4B06">
            <w:pPr>
              <w:pStyle w:val="Tabellenbody"/>
            </w:pPr>
            <w:bookmarkStart w:id="106" w:name="ID0E5SAE"/>
            <w:bookmarkEnd w:id="106"/>
            <w:r>
              <w:t>0-3</w:t>
            </w:r>
          </w:p>
        </w:tc>
        <w:tc>
          <w:tcPr>
            <w:tcW w:w="704" w:type="dxa"/>
          </w:tcPr>
          <w:p w:rsidR="00C02512" w:rsidRDefault="001D4B06">
            <w:pPr>
              <w:pStyle w:val="Tabellenbody"/>
            </w:pPr>
            <w:bookmarkStart w:id="107" w:name="ID0EOTAE"/>
            <w:bookmarkEnd w:id="107"/>
            <w:r>
              <w:t>1-3</w:t>
            </w:r>
          </w:p>
        </w:tc>
        <w:tc>
          <w:tcPr>
            <w:tcW w:w="1451" w:type="dxa"/>
          </w:tcPr>
          <w:p w:rsidR="00C02512" w:rsidRDefault="001D4B06">
            <w:pPr>
              <w:pStyle w:val="Tabellenbody"/>
            </w:pPr>
            <w:bookmarkStart w:id="108" w:name="ID0E5TAE"/>
            <w:bookmarkEnd w:id="108"/>
            <w:r>
              <w:t>irrelevant</w:t>
            </w:r>
          </w:p>
        </w:tc>
        <w:tc>
          <w:tcPr>
            <w:tcW w:w="2113" w:type="dxa"/>
          </w:tcPr>
          <w:p w:rsidR="00C02512" w:rsidRDefault="001D4B06">
            <w:pPr>
              <w:pStyle w:val="Tabellenbody"/>
            </w:pPr>
            <w:bookmarkStart w:id="109" w:name="ID0EOUAE"/>
            <w:bookmarkEnd w:id="109"/>
            <w:r>
              <w:t>BM 5-9 % or PB 2-4 %, keine Auer Stäbchen</w:t>
            </w:r>
          </w:p>
        </w:tc>
        <w:tc>
          <w:tcPr>
            <w:tcW w:w="2819" w:type="dxa"/>
          </w:tcPr>
          <w:p w:rsidR="00C02512" w:rsidRDefault="001D4B06">
            <w:pPr>
              <w:pStyle w:val="Tabellenbody"/>
            </w:pPr>
            <w:bookmarkStart w:id="110" w:name="ID0E5UAE"/>
            <w:bookmarkEnd w:id="110"/>
            <w:r>
              <w:t xml:space="preserve">irrelevant </w:t>
            </w:r>
          </w:p>
        </w:tc>
      </w:tr>
      <w:tr w:rsidR="00C02512">
        <w:tc>
          <w:tcPr>
            <w:tcW w:w="1943" w:type="dxa"/>
          </w:tcPr>
          <w:p w:rsidR="00C02512" w:rsidRDefault="001D4B06">
            <w:pPr>
              <w:pStyle w:val="Tabellenbody"/>
            </w:pPr>
            <w:bookmarkStart w:id="111" w:name="ID0EPVAE"/>
            <w:bookmarkEnd w:id="111"/>
            <w:r>
              <w:rPr>
                <w:b/>
              </w:rPr>
              <w:t>MDS-EB2</w:t>
            </w:r>
          </w:p>
          <w:p w:rsidR="00C02512" w:rsidRDefault="00C02512">
            <w:pPr>
              <w:pStyle w:val="Tabellenbody"/>
            </w:pPr>
            <w:bookmarkStart w:id="112" w:name="ID0ETVAE"/>
            <w:bookmarkEnd w:id="112"/>
          </w:p>
        </w:tc>
        <w:tc>
          <w:tcPr>
            <w:tcW w:w="605" w:type="dxa"/>
          </w:tcPr>
          <w:p w:rsidR="00C02512" w:rsidRDefault="001D4B06">
            <w:pPr>
              <w:pStyle w:val="Tabellenbody"/>
            </w:pPr>
            <w:bookmarkStart w:id="113" w:name="ID0ECWAE"/>
            <w:bookmarkEnd w:id="113"/>
            <w:r>
              <w:t>0-3</w:t>
            </w:r>
          </w:p>
        </w:tc>
        <w:tc>
          <w:tcPr>
            <w:tcW w:w="704" w:type="dxa"/>
          </w:tcPr>
          <w:p w:rsidR="00C02512" w:rsidRDefault="001D4B06">
            <w:pPr>
              <w:pStyle w:val="Tabellenbody"/>
            </w:pPr>
            <w:bookmarkStart w:id="114" w:name="ID0ESWAE"/>
            <w:bookmarkEnd w:id="114"/>
            <w:r>
              <w:t>1-3</w:t>
            </w:r>
          </w:p>
        </w:tc>
        <w:tc>
          <w:tcPr>
            <w:tcW w:w="1451" w:type="dxa"/>
          </w:tcPr>
          <w:p w:rsidR="00C02512" w:rsidRDefault="001D4B06">
            <w:pPr>
              <w:pStyle w:val="Tabellenbody"/>
            </w:pPr>
            <w:bookmarkStart w:id="115" w:name="ID0ECXAE"/>
            <w:bookmarkEnd w:id="115"/>
            <w:r>
              <w:t>irrelevant</w:t>
            </w:r>
          </w:p>
        </w:tc>
        <w:tc>
          <w:tcPr>
            <w:tcW w:w="2113" w:type="dxa"/>
          </w:tcPr>
          <w:p w:rsidR="00C02512" w:rsidRPr="001D4B06" w:rsidRDefault="001D4B06">
            <w:pPr>
              <w:pStyle w:val="Tabellenbody"/>
              <w:rPr>
                <w:lang w:val="en-US"/>
              </w:rPr>
            </w:pPr>
            <w:bookmarkStart w:id="116" w:name="ID0ESXAE"/>
            <w:bookmarkEnd w:id="116"/>
            <w:r w:rsidRPr="001D4B06">
              <w:rPr>
                <w:lang w:val="en-US"/>
              </w:rPr>
              <w:t>BM 10-19 % or PB 5-19 % or Auer rods</w:t>
            </w:r>
          </w:p>
        </w:tc>
        <w:tc>
          <w:tcPr>
            <w:tcW w:w="2819" w:type="dxa"/>
          </w:tcPr>
          <w:p w:rsidR="00C02512" w:rsidRDefault="001D4B06">
            <w:pPr>
              <w:pStyle w:val="Tabellenbody"/>
            </w:pPr>
            <w:bookmarkStart w:id="117" w:name="ID0ECYAE"/>
            <w:bookmarkEnd w:id="117"/>
            <w:r>
              <w:t>Irrelevant</w:t>
            </w:r>
          </w:p>
        </w:tc>
      </w:tr>
      <w:tr w:rsidR="00C02512">
        <w:tc>
          <w:tcPr>
            <w:tcW w:w="1943" w:type="dxa"/>
          </w:tcPr>
          <w:p w:rsidR="00C02512" w:rsidRDefault="001D4B06">
            <w:pPr>
              <w:pStyle w:val="Tabellenbody"/>
            </w:pPr>
            <w:bookmarkStart w:id="118" w:name="ID0ETYAE"/>
            <w:bookmarkEnd w:id="118"/>
            <w:r>
              <w:rPr>
                <w:b/>
              </w:rPr>
              <w:t>MDS, unclassifiable (MDS-U)</w:t>
            </w:r>
          </w:p>
          <w:p w:rsidR="00C02512" w:rsidRDefault="00C02512">
            <w:pPr>
              <w:pStyle w:val="Tabellenbody"/>
            </w:pPr>
            <w:bookmarkStart w:id="119" w:name="ID0EXYAE"/>
            <w:bookmarkEnd w:id="119"/>
          </w:p>
        </w:tc>
        <w:tc>
          <w:tcPr>
            <w:tcW w:w="605" w:type="dxa"/>
          </w:tcPr>
          <w:p w:rsidR="00C02512" w:rsidRDefault="00C02512">
            <w:pPr>
              <w:pStyle w:val="Tabellenbody"/>
            </w:pPr>
          </w:p>
        </w:tc>
        <w:tc>
          <w:tcPr>
            <w:tcW w:w="704" w:type="dxa"/>
          </w:tcPr>
          <w:p w:rsidR="00C02512" w:rsidRDefault="00C02512">
            <w:pPr>
              <w:pStyle w:val="Tabellenbody"/>
            </w:pPr>
          </w:p>
        </w:tc>
        <w:tc>
          <w:tcPr>
            <w:tcW w:w="1451" w:type="dxa"/>
          </w:tcPr>
          <w:p w:rsidR="00C02512" w:rsidRDefault="00C02512">
            <w:pPr>
              <w:pStyle w:val="Tabellenbody"/>
            </w:pPr>
          </w:p>
        </w:tc>
        <w:tc>
          <w:tcPr>
            <w:tcW w:w="2113" w:type="dxa"/>
          </w:tcPr>
          <w:p w:rsidR="00C02512" w:rsidRDefault="00C02512">
            <w:pPr>
              <w:pStyle w:val="Tabellenbody"/>
            </w:pPr>
          </w:p>
        </w:tc>
        <w:tc>
          <w:tcPr>
            <w:tcW w:w="2819" w:type="dxa"/>
          </w:tcPr>
          <w:p w:rsidR="00C02512" w:rsidRDefault="00C02512">
            <w:pPr>
              <w:pStyle w:val="Tabellenbody"/>
            </w:pPr>
          </w:p>
        </w:tc>
      </w:tr>
      <w:tr w:rsidR="00C02512">
        <w:tc>
          <w:tcPr>
            <w:tcW w:w="1943" w:type="dxa"/>
          </w:tcPr>
          <w:p w:rsidR="00C02512" w:rsidRDefault="001D4B06">
            <w:pPr>
              <w:pStyle w:val="Tabellenbody"/>
            </w:pPr>
            <w:bookmarkStart w:id="120" w:name="ID0ED2AE"/>
            <w:bookmarkEnd w:id="120"/>
            <w:r>
              <w:rPr>
                <w:b/>
              </w:rPr>
              <w:t xml:space="preserve">       with 1 % blood blasts</w:t>
            </w:r>
            <w:r>
              <w:rPr>
                <w:b/>
                <w:vertAlign w:val="superscript"/>
              </w:rPr>
              <w:t xml:space="preserve"> 3</w:t>
            </w:r>
          </w:p>
          <w:p w:rsidR="00C02512" w:rsidRDefault="00C02512">
            <w:pPr>
              <w:pStyle w:val="Tabellenbody"/>
            </w:pPr>
            <w:bookmarkStart w:id="121" w:name="ID0EJ2AE"/>
            <w:bookmarkEnd w:id="121"/>
          </w:p>
        </w:tc>
        <w:tc>
          <w:tcPr>
            <w:tcW w:w="605" w:type="dxa"/>
          </w:tcPr>
          <w:p w:rsidR="00C02512" w:rsidRDefault="001D4B06">
            <w:pPr>
              <w:pStyle w:val="Tabellenbody"/>
            </w:pPr>
            <w:bookmarkStart w:id="122" w:name="ID0EY2AE"/>
            <w:bookmarkEnd w:id="122"/>
            <w:r>
              <w:t>1-3</w:t>
            </w:r>
          </w:p>
        </w:tc>
        <w:tc>
          <w:tcPr>
            <w:tcW w:w="704" w:type="dxa"/>
          </w:tcPr>
          <w:p w:rsidR="00C02512" w:rsidRDefault="001D4B06">
            <w:pPr>
              <w:pStyle w:val="Tabellenbody"/>
            </w:pPr>
            <w:bookmarkStart w:id="123" w:name="ID0EI3AE"/>
            <w:bookmarkEnd w:id="123"/>
            <w:r>
              <w:t>1-3</w:t>
            </w:r>
          </w:p>
        </w:tc>
        <w:tc>
          <w:tcPr>
            <w:tcW w:w="1451" w:type="dxa"/>
          </w:tcPr>
          <w:p w:rsidR="00C02512" w:rsidRDefault="001D4B06">
            <w:pPr>
              <w:pStyle w:val="Tabellenbody"/>
            </w:pPr>
            <w:bookmarkStart w:id="124" w:name="ID0EY3AE"/>
            <w:bookmarkEnd w:id="124"/>
            <w:r>
              <w:t>irrelevant</w:t>
            </w:r>
          </w:p>
        </w:tc>
        <w:tc>
          <w:tcPr>
            <w:tcW w:w="2113" w:type="dxa"/>
          </w:tcPr>
          <w:p w:rsidR="00C02512" w:rsidRDefault="001D4B06">
            <w:pPr>
              <w:pStyle w:val="Tabellenbody"/>
            </w:pPr>
            <w:bookmarkStart w:id="125" w:name="ID0EI4AE"/>
            <w:bookmarkEnd w:id="125"/>
            <w:r>
              <w:t>BM &lt;5 %, PB=1 %,</w:t>
            </w:r>
          </w:p>
          <w:p w:rsidR="00C02512" w:rsidRDefault="001D4B06">
            <w:pPr>
              <w:pStyle w:val="Tabellenbody"/>
            </w:pPr>
            <w:bookmarkStart w:id="126" w:name="ID0EM4AE"/>
            <w:bookmarkEnd w:id="126"/>
            <w:r>
              <w:t xml:space="preserve">keine Auer Stäbchen </w:t>
            </w:r>
          </w:p>
        </w:tc>
        <w:tc>
          <w:tcPr>
            <w:tcW w:w="2819" w:type="dxa"/>
          </w:tcPr>
          <w:p w:rsidR="00C02512" w:rsidRDefault="001D4B06">
            <w:pPr>
              <w:pStyle w:val="Tabellenbody"/>
            </w:pPr>
            <w:bookmarkStart w:id="127" w:name="ID0E34AE"/>
            <w:bookmarkEnd w:id="127"/>
            <w:r>
              <w:t>Irrelevant</w:t>
            </w:r>
          </w:p>
        </w:tc>
      </w:tr>
      <w:tr w:rsidR="00C02512">
        <w:tc>
          <w:tcPr>
            <w:tcW w:w="1943" w:type="dxa"/>
          </w:tcPr>
          <w:p w:rsidR="00C02512" w:rsidRPr="001D4B06" w:rsidRDefault="001D4B06">
            <w:pPr>
              <w:pStyle w:val="Tabellenbody"/>
              <w:rPr>
                <w:lang w:val="en-US"/>
              </w:rPr>
            </w:pPr>
            <w:bookmarkStart w:id="128" w:name="ID0EN5AE"/>
            <w:bookmarkEnd w:id="128"/>
            <w:r w:rsidRPr="001D4B06">
              <w:rPr>
                <w:b/>
                <w:lang w:val="en-US"/>
              </w:rPr>
              <w:t xml:space="preserve">        with single lineage dysplasia and pancytopenia</w:t>
            </w:r>
          </w:p>
        </w:tc>
        <w:tc>
          <w:tcPr>
            <w:tcW w:w="605" w:type="dxa"/>
          </w:tcPr>
          <w:p w:rsidR="00C02512" w:rsidRDefault="001D4B06">
            <w:pPr>
              <w:pStyle w:val="Tabellenbody"/>
            </w:pPr>
            <w:bookmarkStart w:id="129" w:name="ID0E45AE"/>
            <w:bookmarkEnd w:id="129"/>
            <w:r>
              <w:t>1</w:t>
            </w:r>
          </w:p>
        </w:tc>
        <w:tc>
          <w:tcPr>
            <w:tcW w:w="704" w:type="dxa"/>
          </w:tcPr>
          <w:p w:rsidR="00C02512" w:rsidRDefault="001D4B06">
            <w:pPr>
              <w:pStyle w:val="Tabellenbody"/>
            </w:pPr>
            <w:bookmarkStart w:id="130" w:name="ID0EN6AE"/>
            <w:bookmarkEnd w:id="130"/>
            <w:r>
              <w:t>3</w:t>
            </w:r>
          </w:p>
        </w:tc>
        <w:tc>
          <w:tcPr>
            <w:tcW w:w="1451" w:type="dxa"/>
          </w:tcPr>
          <w:p w:rsidR="00C02512" w:rsidRDefault="001D4B06">
            <w:pPr>
              <w:pStyle w:val="Tabellenbody"/>
            </w:pPr>
            <w:bookmarkStart w:id="131" w:name="ID0E46AE"/>
            <w:bookmarkEnd w:id="131"/>
            <w:r>
              <w:t>irrelevant</w:t>
            </w:r>
          </w:p>
        </w:tc>
        <w:tc>
          <w:tcPr>
            <w:tcW w:w="2113" w:type="dxa"/>
          </w:tcPr>
          <w:p w:rsidR="00C02512" w:rsidRDefault="001D4B06">
            <w:pPr>
              <w:pStyle w:val="Tabellenbody"/>
            </w:pPr>
            <w:bookmarkStart w:id="132" w:name="ID0EOAAG"/>
            <w:bookmarkEnd w:id="132"/>
            <w:r>
              <w:t xml:space="preserve">BM &lt;5 %, PB &lt;1 %, </w:t>
            </w:r>
          </w:p>
          <w:p w:rsidR="00C02512" w:rsidRDefault="001D4B06">
            <w:pPr>
              <w:pStyle w:val="Tabellenbody"/>
            </w:pPr>
            <w:bookmarkStart w:id="133" w:name="ID0ESAAG"/>
            <w:bookmarkEnd w:id="133"/>
            <w:r>
              <w:t xml:space="preserve">keine Auer Stäbchen </w:t>
            </w:r>
          </w:p>
        </w:tc>
        <w:tc>
          <w:tcPr>
            <w:tcW w:w="2819" w:type="dxa"/>
          </w:tcPr>
          <w:p w:rsidR="00C02512" w:rsidRDefault="001D4B06">
            <w:pPr>
              <w:pStyle w:val="Tabellenbody"/>
            </w:pPr>
            <w:bookmarkStart w:id="134" w:name="ID0ECBAG"/>
            <w:bookmarkEnd w:id="134"/>
            <w:r>
              <w:t>Alle, außer del(5q) +- 1 andere non-chr 7 Aberration</w:t>
            </w:r>
          </w:p>
        </w:tc>
      </w:tr>
      <w:tr w:rsidR="00C02512">
        <w:tc>
          <w:tcPr>
            <w:tcW w:w="1943" w:type="dxa"/>
          </w:tcPr>
          <w:p w:rsidR="00C02512" w:rsidRDefault="001D4B06">
            <w:pPr>
              <w:pStyle w:val="Tabellenbody"/>
            </w:pPr>
            <w:bookmarkStart w:id="135" w:name="ID0ESBAG"/>
            <w:bookmarkEnd w:id="135"/>
            <w:r>
              <w:rPr>
                <w:b/>
              </w:rPr>
              <w:t xml:space="preserve">       based on defining cytogenetic abnormality</w:t>
            </w:r>
          </w:p>
          <w:p w:rsidR="00C02512" w:rsidRDefault="00C02512">
            <w:pPr>
              <w:pStyle w:val="Tabellenbody"/>
            </w:pPr>
            <w:bookmarkStart w:id="136" w:name="ID0EWBAG"/>
            <w:bookmarkEnd w:id="136"/>
          </w:p>
        </w:tc>
        <w:tc>
          <w:tcPr>
            <w:tcW w:w="605" w:type="dxa"/>
          </w:tcPr>
          <w:p w:rsidR="00C02512" w:rsidRDefault="001D4B06">
            <w:pPr>
              <w:pStyle w:val="Tabellenbody"/>
            </w:pPr>
            <w:bookmarkStart w:id="137" w:name="ID0EECAG"/>
            <w:bookmarkEnd w:id="137"/>
            <w:r>
              <w:t>0</w:t>
            </w:r>
          </w:p>
        </w:tc>
        <w:tc>
          <w:tcPr>
            <w:tcW w:w="704" w:type="dxa"/>
          </w:tcPr>
          <w:p w:rsidR="00C02512" w:rsidRDefault="001D4B06">
            <w:pPr>
              <w:pStyle w:val="Tabellenbody"/>
            </w:pPr>
            <w:bookmarkStart w:id="138" w:name="ID0ETCAG"/>
            <w:bookmarkEnd w:id="138"/>
            <w:r>
              <w:t>1-3</w:t>
            </w:r>
          </w:p>
        </w:tc>
        <w:tc>
          <w:tcPr>
            <w:tcW w:w="1451" w:type="dxa"/>
          </w:tcPr>
          <w:p w:rsidR="00C02512" w:rsidRDefault="001D4B06">
            <w:pPr>
              <w:pStyle w:val="Tabellenbody"/>
            </w:pPr>
            <w:bookmarkStart w:id="139" w:name="ID0ECDAG"/>
            <w:bookmarkEnd w:id="139"/>
            <w:r>
              <w:t xml:space="preserve">&lt;15 % </w:t>
            </w:r>
            <w:r>
              <w:rPr>
                <w:vertAlign w:val="superscript"/>
              </w:rPr>
              <w:t>4</w:t>
            </w:r>
          </w:p>
        </w:tc>
        <w:tc>
          <w:tcPr>
            <w:tcW w:w="2113" w:type="dxa"/>
          </w:tcPr>
          <w:p w:rsidR="00C02512" w:rsidRDefault="001D4B06">
            <w:pPr>
              <w:pStyle w:val="Tabellenbody"/>
            </w:pPr>
            <w:bookmarkStart w:id="140" w:name="ID0ESDAG"/>
            <w:bookmarkEnd w:id="140"/>
            <w:r>
              <w:t xml:space="preserve">BM &lt;5 %, PB &lt;1 %, </w:t>
            </w:r>
          </w:p>
          <w:p w:rsidR="00C02512" w:rsidRDefault="001D4B06">
            <w:pPr>
              <w:pStyle w:val="Tabellenbody"/>
            </w:pPr>
            <w:bookmarkStart w:id="141" w:name="ID0EWDAG"/>
            <w:bookmarkEnd w:id="141"/>
            <w:r>
              <w:t xml:space="preserve">keine Auer Stäbchen </w:t>
            </w:r>
          </w:p>
        </w:tc>
        <w:tc>
          <w:tcPr>
            <w:tcW w:w="2819" w:type="dxa"/>
          </w:tcPr>
          <w:p w:rsidR="00C02512" w:rsidRDefault="001D4B06">
            <w:pPr>
              <w:pStyle w:val="Tabellenbody"/>
            </w:pPr>
            <w:bookmarkStart w:id="142" w:name="ID0EFEAG"/>
            <w:bookmarkEnd w:id="142"/>
            <w:r>
              <w:t>MDS-definierende Abnormalität</w:t>
            </w:r>
          </w:p>
          <w:p w:rsidR="00C02512" w:rsidRDefault="00C02512">
            <w:pPr>
              <w:pStyle w:val="Tabellenbody"/>
            </w:pPr>
            <w:bookmarkStart w:id="143" w:name="ID0EJEAG"/>
            <w:bookmarkEnd w:id="143"/>
          </w:p>
        </w:tc>
      </w:tr>
    </w:tbl>
    <w:p w:rsidR="00C02512" w:rsidRDefault="001D4B06">
      <w:pPr>
        <w:pStyle w:val="Legende"/>
      </w:pPr>
      <w:r>
        <w:rPr>
          <w:b/>
        </w:rPr>
        <w:lastRenderedPageBreak/>
        <w:t xml:space="preserve">Legende: </w:t>
      </w:r>
      <w:r>
        <w:rPr>
          <w:rStyle w:val="LegendenzeichenHochgestellt"/>
        </w:rPr>
        <w:t>1</w:t>
      </w:r>
      <w:r>
        <w:t>Zytopenien definiert als Hämoglobin &lt;</w:t>
      </w:r>
      <w:r>
        <w:t>100 g/L, Thrombozyten &lt;100 x 10</w:t>
      </w:r>
      <w:r>
        <w:rPr>
          <w:vertAlign w:val="superscript"/>
        </w:rPr>
        <w:t>9</w:t>
      </w:r>
      <w:r>
        <w:t>/L, ANC &lt;1.8 x 10</w:t>
      </w:r>
      <w:r>
        <w:rPr>
          <w:vertAlign w:val="superscript"/>
        </w:rPr>
        <w:t>9</w:t>
      </w:r>
      <w:r>
        <w:t>/L</w:t>
      </w:r>
      <w:r>
        <w:br/>
      </w:r>
      <w:r>
        <w:rPr>
          <w:vertAlign w:val="superscript"/>
        </w:rPr>
        <w:t>2</w:t>
      </w:r>
      <w:r>
        <w:t>falls SF3B1 mutiert</w:t>
      </w:r>
      <w:r>
        <w:br/>
      </w:r>
      <w:r>
        <w:rPr>
          <w:vertAlign w:val="superscript"/>
        </w:rPr>
        <w:t>3</w:t>
      </w:r>
      <w:r>
        <w:t>1 % periphere Blasten müssen zu 2 verschiedenen Zeitpunkten beurteilt werden</w:t>
      </w:r>
      <w:r>
        <w:br/>
      </w:r>
      <w:r>
        <w:rPr>
          <w:vertAlign w:val="superscript"/>
        </w:rPr>
        <w:t xml:space="preserve">4 </w:t>
      </w:r>
      <w:r>
        <w:t>Fälle mit ≥15 % Ringsideroblasten haben per definition eine signifikante Dyserythropoiese und sind dah</w:t>
      </w:r>
      <w:r>
        <w:t>er MDS-RS-SLD</w:t>
      </w:r>
    </w:p>
    <w:p w:rsidR="00C02512" w:rsidRDefault="001D4B06">
      <w:pPr>
        <w:pStyle w:val="Tabellenbeschriftung"/>
      </w:pPr>
      <w:bookmarkStart w:id="144" w:name="ID0EBFAG"/>
      <w:r>
        <w:t>Tabelle 3</w:t>
      </w:r>
      <w:bookmarkEnd w:id="144"/>
      <w:r>
        <w:t xml:space="preserve">: </w:t>
      </w:r>
      <w:r>
        <w:t>Typische chromosomale Aberrationen und ihre Häufigkeit bei MDS</w:t>
      </w:r>
    </w:p>
    <w:tbl>
      <w:tblPr>
        <w:tblStyle w:val="TabelleKomplett"/>
        <w:tblW w:w="9640" w:type="dxa"/>
        <w:tblLayout w:type="fixed"/>
        <w:tblLook w:val="04A0" w:firstRow="1" w:lastRow="0" w:firstColumn="1" w:lastColumn="0" w:noHBand="0" w:noVBand="1"/>
      </w:tblPr>
      <w:tblGrid>
        <w:gridCol w:w="6165"/>
        <w:gridCol w:w="1687"/>
        <w:gridCol w:w="1788"/>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6164" w:type="dxa"/>
          </w:tcPr>
          <w:p w:rsidR="00C02512" w:rsidRDefault="001D4B06">
            <w:pPr>
              <w:pStyle w:val="Tabellenkopf"/>
            </w:pPr>
            <w:bookmarkStart w:id="145" w:name="ID0E5FAG"/>
            <w:bookmarkEnd w:id="145"/>
            <w:r>
              <w:t>Abnormalität</w:t>
            </w:r>
          </w:p>
        </w:tc>
        <w:tc>
          <w:tcPr>
            <w:tcW w:w="1687" w:type="dxa"/>
          </w:tcPr>
          <w:p w:rsidR="00C02512" w:rsidRDefault="001D4B06">
            <w:pPr>
              <w:pStyle w:val="Tabellenkopf"/>
            </w:pPr>
            <w:bookmarkStart w:id="146" w:name="ID0ELGAG"/>
            <w:bookmarkEnd w:id="146"/>
            <w:r>
              <w:t>MDS</w:t>
            </w:r>
          </w:p>
        </w:tc>
        <w:tc>
          <w:tcPr>
            <w:tcW w:w="1788" w:type="dxa"/>
          </w:tcPr>
          <w:p w:rsidR="00C02512" w:rsidRDefault="001D4B06">
            <w:pPr>
              <w:pStyle w:val="Tabellenkopf"/>
            </w:pPr>
            <w:bookmarkStart w:id="147" w:name="ID0EYGAG"/>
            <w:bookmarkEnd w:id="147"/>
            <w:r>
              <w:t>t-MDS</w:t>
            </w:r>
          </w:p>
        </w:tc>
      </w:tr>
      <w:tr w:rsidR="00C02512">
        <w:tc>
          <w:tcPr>
            <w:tcW w:w="9639" w:type="dxa"/>
            <w:gridSpan w:val="3"/>
          </w:tcPr>
          <w:p w:rsidR="00C02512" w:rsidRDefault="001D4B06">
            <w:pPr>
              <w:pStyle w:val="Tabellenbody"/>
            </w:pPr>
            <w:bookmarkStart w:id="148" w:name="ID0EJHAG"/>
            <w:bookmarkEnd w:id="148"/>
            <w:r>
              <w:rPr>
                <w:i/>
              </w:rPr>
              <w:t>Unbalanced</w:t>
            </w:r>
          </w:p>
        </w:tc>
      </w:tr>
      <w:tr w:rsidR="00C02512">
        <w:tc>
          <w:tcPr>
            <w:tcW w:w="6164" w:type="dxa"/>
          </w:tcPr>
          <w:p w:rsidR="00C02512" w:rsidRDefault="001D4B06">
            <w:pPr>
              <w:pStyle w:val="Tabellenbody"/>
            </w:pPr>
            <w:bookmarkStart w:id="149" w:name="ID0EWHAG"/>
            <w:bookmarkEnd w:id="149"/>
            <w:r>
              <w:t>+8*</w:t>
            </w:r>
          </w:p>
        </w:tc>
        <w:tc>
          <w:tcPr>
            <w:tcW w:w="1687" w:type="dxa"/>
          </w:tcPr>
          <w:p w:rsidR="00C02512" w:rsidRDefault="001D4B06">
            <w:pPr>
              <w:pStyle w:val="Tabellenbody"/>
            </w:pPr>
            <w:bookmarkStart w:id="150" w:name="ID0EBIAG"/>
            <w:bookmarkEnd w:id="150"/>
            <w:r>
              <w:t>10%</w:t>
            </w:r>
          </w:p>
        </w:tc>
        <w:tc>
          <w:tcPr>
            <w:tcW w:w="1788" w:type="dxa"/>
          </w:tcPr>
          <w:p w:rsidR="00C02512" w:rsidRDefault="001D4B06">
            <w:pPr>
              <w:pStyle w:val="Tabellenbody"/>
            </w:pPr>
            <w:bookmarkStart w:id="151" w:name="ID0EMIAG"/>
            <w:bookmarkEnd w:id="151"/>
            <w:r>
              <w:t> </w:t>
            </w:r>
          </w:p>
        </w:tc>
      </w:tr>
      <w:tr w:rsidR="00C02512">
        <w:tc>
          <w:tcPr>
            <w:tcW w:w="6164" w:type="dxa"/>
          </w:tcPr>
          <w:p w:rsidR="00C02512" w:rsidRDefault="001D4B06">
            <w:pPr>
              <w:pStyle w:val="Tabellenbody"/>
            </w:pPr>
            <w:bookmarkStart w:id="152" w:name="ID0EZIAG"/>
            <w:bookmarkEnd w:id="152"/>
            <w:r>
              <w:t>-7 or del(7q)</w:t>
            </w:r>
          </w:p>
        </w:tc>
        <w:tc>
          <w:tcPr>
            <w:tcW w:w="1687" w:type="dxa"/>
          </w:tcPr>
          <w:p w:rsidR="00C02512" w:rsidRDefault="001D4B06">
            <w:pPr>
              <w:pStyle w:val="Tabellenbody"/>
            </w:pPr>
            <w:bookmarkStart w:id="153" w:name="ID0EEJAG"/>
            <w:bookmarkEnd w:id="153"/>
            <w:r>
              <w:t>10%</w:t>
            </w:r>
          </w:p>
        </w:tc>
        <w:tc>
          <w:tcPr>
            <w:tcW w:w="1788" w:type="dxa"/>
          </w:tcPr>
          <w:p w:rsidR="00C02512" w:rsidRDefault="001D4B06">
            <w:pPr>
              <w:pStyle w:val="Tabellenbody"/>
            </w:pPr>
            <w:bookmarkStart w:id="154" w:name="ID0EPJAG"/>
            <w:bookmarkEnd w:id="154"/>
            <w:r>
              <w:t>50%</w:t>
            </w:r>
          </w:p>
        </w:tc>
      </w:tr>
      <w:tr w:rsidR="00C02512">
        <w:tc>
          <w:tcPr>
            <w:tcW w:w="6164" w:type="dxa"/>
          </w:tcPr>
          <w:p w:rsidR="00C02512" w:rsidRDefault="001D4B06">
            <w:pPr>
              <w:pStyle w:val="Tabellenbody"/>
            </w:pPr>
            <w:bookmarkStart w:id="155" w:name="ID0E3JAG"/>
            <w:bookmarkEnd w:id="155"/>
            <w:r>
              <w:t>del(5q)/5q loss</w:t>
            </w:r>
          </w:p>
        </w:tc>
        <w:tc>
          <w:tcPr>
            <w:tcW w:w="1687" w:type="dxa"/>
          </w:tcPr>
          <w:p w:rsidR="00C02512" w:rsidRDefault="001D4B06">
            <w:pPr>
              <w:pStyle w:val="Tabellenbody"/>
            </w:pPr>
            <w:bookmarkStart w:id="156" w:name="ID0EHKAG"/>
            <w:bookmarkEnd w:id="156"/>
            <w:r>
              <w:t>10%</w:t>
            </w:r>
          </w:p>
        </w:tc>
        <w:tc>
          <w:tcPr>
            <w:tcW w:w="1788" w:type="dxa"/>
          </w:tcPr>
          <w:p w:rsidR="00C02512" w:rsidRDefault="001D4B06">
            <w:pPr>
              <w:pStyle w:val="Tabellenbody"/>
            </w:pPr>
            <w:bookmarkStart w:id="157" w:name="ID0ESKAG"/>
            <w:bookmarkEnd w:id="157"/>
            <w:r>
              <w:t>40%</w:t>
            </w:r>
          </w:p>
        </w:tc>
      </w:tr>
      <w:tr w:rsidR="00C02512">
        <w:tc>
          <w:tcPr>
            <w:tcW w:w="6164" w:type="dxa"/>
          </w:tcPr>
          <w:p w:rsidR="00C02512" w:rsidRDefault="001D4B06">
            <w:pPr>
              <w:pStyle w:val="Tabellenbody"/>
            </w:pPr>
            <w:bookmarkStart w:id="158" w:name="ID0E6KAG"/>
            <w:bookmarkEnd w:id="158"/>
            <w:r>
              <w:t>del(20q)*</w:t>
            </w:r>
          </w:p>
        </w:tc>
        <w:tc>
          <w:tcPr>
            <w:tcW w:w="1687" w:type="dxa"/>
          </w:tcPr>
          <w:p w:rsidR="00C02512" w:rsidRDefault="001D4B06">
            <w:pPr>
              <w:pStyle w:val="Tabellenbody"/>
            </w:pPr>
            <w:bookmarkStart w:id="159" w:name="ID0EKLAG"/>
            <w:bookmarkEnd w:id="159"/>
            <w:r>
              <w:t>5-8%</w:t>
            </w:r>
          </w:p>
        </w:tc>
        <w:tc>
          <w:tcPr>
            <w:tcW w:w="1788" w:type="dxa"/>
          </w:tcPr>
          <w:p w:rsidR="00C02512" w:rsidRDefault="001D4B06">
            <w:pPr>
              <w:pStyle w:val="Tabellenbody"/>
            </w:pPr>
            <w:bookmarkStart w:id="160" w:name="ID0EVLAG"/>
            <w:bookmarkEnd w:id="160"/>
            <w:r>
              <w:t> </w:t>
            </w:r>
          </w:p>
        </w:tc>
      </w:tr>
      <w:tr w:rsidR="00C02512">
        <w:tc>
          <w:tcPr>
            <w:tcW w:w="6164" w:type="dxa"/>
          </w:tcPr>
          <w:p w:rsidR="00C02512" w:rsidRDefault="001D4B06">
            <w:pPr>
              <w:pStyle w:val="Tabellenbody"/>
            </w:pPr>
            <w:bookmarkStart w:id="161" w:name="ID0ECMAG"/>
            <w:bookmarkEnd w:id="161"/>
            <w:r>
              <w:t>-Y*</w:t>
            </w:r>
          </w:p>
        </w:tc>
        <w:tc>
          <w:tcPr>
            <w:tcW w:w="1687" w:type="dxa"/>
          </w:tcPr>
          <w:p w:rsidR="00C02512" w:rsidRDefault="001D4B06">
            <w:pPr>
              <w:pStyle w:val="Tabellenbody"/>
            </w:pPr>
            <w:bookmarkStart w:id="162" w:name="ID0ENMAG"/>
            <w:bookmarkEnd w:id="162"/>
            <w:r>
              <w:t>5%</w:t>
            </w:r>
          </w:p>
        </w:tc>
        <w:tc>
          <w:tcPr>
            <w:tcW w:w="1788" w:type="dxa"/>
          </w:tcPr>
          <w:p w:rsidR="00C02512" w:rsidRDefault="001D4B06">
            <w:pPr>
              <w:pStyle w:val="Tabellenbody"/>
            </w:pPr>
            <w:bookmarkStart w:id="163" w:name="ID0EYMAG"/>
            <w:bookmarkEnd w:id="163"/>
            <w:r>
              <w:t> </w:t>
            </w:r>
          </w:p>
        </w:tc>
      </w:tr>
      <w:tr w:rsidR="00C02512">
        <w:tc>
          <w:tcPr>
            <w:tcW w:w="6164" w:type="dxa"/>
          </w:tcPr>
          <w:p w:rsidR="00C02512" w:rsidRDefault="001D4B06">
            <w:pPr>
              <w:pStyle w:val="Tabellenbody"/>
            </w:pPr>
            <w:bookmarkStart w:id="164" w:name="ID0EFNAG"/>
            <w:bookmarkEnd w:id="164"/>
            <w:r>
              <w:t>i(17q) or t(17p)</w:t>
            </w:r>
          </w:p>
        </w:tc>
        <w:tc>
          <w:tcPr>
            <w:tcW w:w="1687" w:type="dxa"/>
          </w:tcPr>
          <w:p w:rsidR="00C02512" w:rsidRDefault="001D4B06">
            <w:pPr>
              <w:pStyle w:val="Tabellenbody"/>
            </w:pPr>
            <w:bookmarkStart w:id="165" w:name="ID0EQNAG"/>
            <w:bookmarkEnd w:id="165"/>
            <w:r>
              <w:t>3-5%</w:t>
            </w:r>
          </w:p>
        </w:tc>
        <w:tc>
          <w:tcPr>
            <w:tcW w:w="1788" w:type="dxa"/>
          </w:tcPr>
          <w:p w:rsidR="00C02512" w:rsidRDefault="001D4B06">
            <w:pPr>
              <w:pStyle w:val="Tabellenbody"/>
            </w:pPr>
            <w:bookmarkStart w:id="166" w:name="ID0E2NAG"/>
            <w:bookmarkEnd w:id="166"/>
            <w:r>
              <w:t>25-30%</w:t>
            </w:r>
          </w:p>
        </w:tc>
      </w:tr>
      <w:tr w:rsidR="00C02512">
        <w:tc>
          <w:tcPr>
            <w:tcW w:w="6164" w:type="dxa"/>
          </w:tcPr>
          <w:p w:rsidR="00C02512" w:rsidRDefault="001D4B06">
            <w:pPr>
              <w:pStyle w:val="Tabellenbody"/>
            </w:pPr>
            <w:bookmarkStart w:id="167" w:name="ID0EIOAG"/>
            <w:bookmarkEnd w:id="167"/>
            <w:r>
              <w:t>-13 or del(13q)</w:t>
            </w:r>
          </w:p>
        </w:tc>
        <w:tc>
          <w:tcPr>
            <w:tcW w:w="1687" w:type="dxa"/>
          </w:tcPr>
          <w:p w:rsidR="00C02512" w:rsidRDefault="001D4B06">
            <w:pPr>
              <w:pStyle w:val="Tabellenbody"/>
            </w:pPr>
            <w:bookmarkStart w:id="168" w:name="ID0ETOAG"/>
            <w:bookmarkEnd w:id="168"/>
            <w:r>
              <w:t>3%</w:t>
            </w:r>
          </w:p>
        </w:tc>
        <w:tc>
          <w:tcPr>
            <w:tcW w:w="1788" w:type="dxa"/>
          </w:tcPr>
          <w:p w:rsidR="00C02512" w:rsidRDefault="001D4B06">
            <w:pPr>
              <w:pStyle w:val="Tabellenbody"/>
            </w:pPr>
            <w:bookmarkStart w:id="169" w:name="ID0E5OAG"/>
            <w:bookmarkEnd w:id="169"/>
            <w:r>
              <w:t> </w:t>
            </w:r>
          </w:p>
        </w:tc>
      </w:tr>
      <w:tr w:rsidR="00C02512">
        <w:tc>
          <w:tcPr>
            <w:tcW w:w="6164" w:type="dxa"/>
          </w:tcPr>
          <w:p w:rsidR="00C02512" w:rsidRDefault="001D4B06">
            <w:pPr>
              <w:pStyle w:val="Tabellenbody"/>
            </w:pPr>
            <w:bookmarkStart w:id="170" w:name="ID0ELPAG"/>
            <w:bookmarkEnd w:id="170"/>
            <w:r>
              <w:t>del(11q)</w:t>
            </w:r>
          </w:p>
        </w:tc>
        <w:tc>
          <w:tcPr>
            <w:tcW w:w="1687" w:type="dxa"/>
          </w:tcPr>
          <w:p w:rsidR="00C02512" w:rsidRDefault="001D4B06">
            <w:pPr>
              <w:pStyle w:val="Tabellenbody"/>
            </w:pPr>
            <w:bookmarkStart w:id="171" w:name="ID0EWPAG"/>
            <w:bookmarkEnd w:id="171"/>
            <w:r>
              <w:t>3%</w:t>
            </w:r>
          </w:p>
        </w:tc>
        <w:tc>
          <w:tcPr>
            <w:tcW w:w="1788" w:type="dxa"/>
          </w:tcPr>
          <w:p w:rsidR="00C02512" w:rsidRDefault="001D4B06">
            <w:pPr>
              <w:pStyle w:val="Tabellenbody"/>
            </w:pPr>
            <w:bookmarkStart w:id="172" w:name="ID0EBQAG"/>
            <w:bookmarkEnd w:id="172"/>
            <w:r>
              <w:t> </w:t>
            </w:r>
          </w:p>
        </w:tc>
      </w:tr>
      <w:tr w:rsidR="00C02512">
        <w:tc>
          <w:tcPr>
            <w:tcW w:w="6164" w:type="dxa"/>
          </w:tcPr>
          <w:p w:rsidR="00C02512" w:rsidRDefault="001D4B06">
            <w:pPr>
              <w:pStyle w:val="Tabellenbody"/>
            </w:pPr>
            <w:bookmarkStart w:id="173" w:name="ID0EOQAG"/>
            <w:bookmarkEnd w:id="173"/>
            <w:r>
              <w:t>del(12p) or t(12p)</w:t>
            </w:r>
          </w:p>
        </w:tc>
        <w:tc>
          <w:tcPr>
            <w:tcW w:w="1687" w:type="dxa"/>
          </w:tcPr>
          <w:p w:rsidR="00C02512" w:rsidRDefault="001D4B06">
            <w:pPr>
              <w:pStyle w:val="Tabellenbody"/>
            </w:pPr>
            <w:bookmarkStart w:id="174" w:name="ID0EZQAG"/>
            <w:bookmarkEnd w:id="174"/>
            <w:r>
              <w:t>3%</w:t>
            </w:r>
          </w:p>
        </w:tc>
        <w:tc>
          <w:tcPr>
            <w:tcW w:w="1788" w:type="dxa"/>
          </w:tcPr>
          <w:p w:rsidR="00C02512" w:rsidRDefault="001D4B06">
            <w:pPr>
              <w:pStyle w:val="Tabellenbody"/>
            </w:pPr>
            <w:bookmarkStart w:id="175" w:name="ID0EERAG"/>
            <w:bookmarkEnd w:id="175"/>
            <w:r>
              <w:t> </w:t>
            </w:r>
          </w:p>
        </w:tc>
      </w:tr>
      <w:tr w:rsidR="00C02512">
        <w:tc>
          <w:tcPr>
            <w:tcW w:w="6164" w:type="dxa"/>
          </w:tcPr>
          <w:p w:rsidR="00C02512" w:rsidRDefault="001D4B06">
            <w:pPr>
              <w:pStyle w:val="Tabellenbody"/>
            </w:pPr>
            <w:bookmarkStart w:id="176" w:name="ID0ERRAG"/>
            <w:bookmarkEnd w:id="176"/>
            <w:r>
              <w:t>del(9q)</w:t>
            </w:r>
          </w:p>
        </w:tc>
        <w:tc>
          <w:tcPr>
            <w:tcW w:w="1687" w:type="dxa"/>
          </w:tcPr>
          <w:p w:rsidR="00C02512" w:rsidRDefault="001D4B06">
            <w:pPr>
              <w:pStyle w:val="Tabellenbody"/>
            </w:pPr>
            <w:bookmarkStart w:id="177" w:name="ID0E3RAG"/>
            <w:bookmarkEnd w:id="177"/>
            <w:r>
              <w:t>1-2%</w:t>
            </w:r>
          </w:p>
        </w:tc>
        <w:tc>
          <w:tcPr>
            <w:tcW w:w="1788" w:type="dxa"/>
          </w:tcPr>
          <w:p w:rsidR="00C02512" w:rsidRDefault="001D4B06">
            <w:pPr>
              <w:pStyle w:val="Tabellenbody"/>
            </w:pPr>
            <w:bookmarkStart w:id="178" w:name="ID0EHSAG"/>
            <w:bookmarkEnd w:id="178"/>
            <w:r>
              <w:t> </w:t>
            </w:r>
          </w:p>
        </w:tc>
      </w:tr>
      <w:tr w:rsidR="00C02512">
        <w:tc>
          <w:tcPr>
            <w:tcW w:w="6164" w:type="dxa"/>
          </w:tcPr>
          <w:p w:rsidR="00C02512" w:rsidRDefault="001D4B06">
            <w:pPr>
              <w:pStyle w:val="Tabellenbody"/>
            </w:pPr>
            <w:bookmarkStart w:id="179" w:name="ID0EUSAG"/>
            <w:bookmarkEnd w:id="179"/>
            <w:r>
              <w:t>idic(X)(q13)</w:t>
            </w:r>
          </w:p>
        </w:tc>
        <w:tc>
          <w:tcPr>
            <w:tcW w:w="1687" w:type="dxa"/>
          </w:tcPr>
          <w:p w:rsidR="00C02512" w:rsidRDefault="001D4B06">
            <w:pPr>
              <w:pStyle w:val="Tabellenbody"/>
            </w:pPr>
            <w:bookmarkStart w:id="180" w:name="ID0E6SAG"/>
            <w:bookmarkEnd w:id="180"/>
            <w:r>
              <w:t>1-2%</w:t>
            </w:r>
          </w:p>
        </w:tc>
        <w:tc>
          <w:tcPr>
            <w:tcW w:w="1788" w:type="dxa"/>
          </w:tcPr>
          <w:p w:rsidR="00C02512" w:rsidRDefault="001D4B06">
            <w:pPr>
              <w:pStyle w:val="Tabellenbody"/>
            </w:pPr>
            <w:bookmarkStart w:id="181" w:name="ID0EKTAG"/>
            <w:bookmarkEnd w:id="181"/>
            <w:r>
              <w:t> </w:t>
            </w:r>
          </w:p>
        </w:tc>
      </w:tr>
      <w:tr w:rsidR="00C02512">
        <w:tc>
          <w:tcPr>
            <w:tcW w:w="9639" w:type="dxa"/>
            <w:gridSpan w:val="3"/>
          </w:tcPr>
          <w:p w:rsidR="00C02512" w:rsidRDefault="001D4B06">
            <w:pPr>
              <w:pStyle w:val="Tabellenbody"/>
            </w:pPr>
            <w:bookmarkStart w:id="182" w:name="ID0E1TAG"/>
            <w:bookmarkEnd w:id="182"/>
            <w:r>
              <w:rPr>
                <w:i/>
              </w:rPr>
              <w:t>Balanced</w:t>
            </w:r>
          </w:p>
        </w:tc>
      </w:tr>
      <w:tr w:rsidR="00C02512">
        <w:tc>
          <w:tcPr>
            <w:tcW w:w="6164" w:type="dxa"/>
          </w:tcPr>
          <w:p w:rsidR="00C02512" w:rsidRDefault="001D4B06">
            <w:pPr>
              <w:pStyle w:val="Tabellenbody"/>
            </w:pPr>
            <w:bookmarkStart w:id="183" w:name="ID0EHUAG"/>
            <w:bookmarkEnd w:id="183"/>
            <w:r>
              <w:t>t(11;16)(q23.3;p13.3)</w:t>
            </w:r>
          </w:p>
        </w:tc>
        <w:tc>
          <w:tcPr>
            <w:tcW w:w="1687" w:type="dxa"/>
          </w:tcPr>
          <w:p w:rsidR="00C02512" w:rsidRDefault="001D4B06">
            <w:pPr>
              <w:pStyle w:val="Tabellenbody"/>
            </w:pPr>
            <w:bookmarkStart w:id="184" w:name="ID0ESUAG"/>
            <w:bookmarkEnd w:id="184"/>
            <w:r>
              <w:t>3%</w:t>
            </w:r>
          </w:p>
        </w:tc>
        <w:tc>
          <w:tcPr>
            <w:tcW w:w="1788" w:type="dxa"/>
          </w:tcPr>
          <w:p w:rsidR="00C02512" w:rsidRDefault="001D4B06">
            <w:pPr>
              <w:pStyle w:val="Tabellenbody"/>
            </w:pPr>
            <w:bookmarkStart w:id="185" w:name="ID0E4UAG"/>
            <w:bookmarkEnd w:id="185"/>
            <w:r>
              <w:t> </w:t>
            </w:r>
          </w:p>
        </w:tc>
      </w:tr>
      <w:tr w:rsidR="00C02512">
        <w:tc>
          <w:tcPr>
            <w:tcW w:w="6164" w:type="dxa"/>
          </w:tcPr>
          <w:p w:rsidR="00C02512" w:rsidRDefault="001D4B06">
            <w:pPr>
              <w:pStyle w:val="Tabellenbody"/>
            </w:pPr>
            <w:bookmarkStart w:id="186" w:name="ID0EKVAG"/>
            <w:bookmarkEnd w:id="186"/>
            <w:r>
              <w:t>t(3;21)(q26.2;q22.1)</w:t>
            </w:r>
          </w:p>
        </w:tc>
        <w:tc>
          <w:tcPr>
            <w:tcW w:w="1687" w:type="dxa"/>
          </w:tcPr>
          <w:p w:rsidR="00C02512" w:rsidRDefault="001D4B06">
            <w:pPr>
              <w:pStyle w:val="Tabellenbody"/>
            </w:pPr>
            <w:bookmarkStart w:id="187" w:name="ID0EVVAG"/>
            <w:bookmarkEnd w:id="187"/>
            <w:r>
              <w:t>2%</w:t>
            </w:r>
          </w:p>
        </w:tc>
        <w:tc>
          <w:tcPr>
            <w:tcW w:w="1788" w:type="dxa"/>
          </w:tcPr>
          <w:p w:rsidR="00C02512" w:rsidRDefault="001D4B06">
            <w:pPr>
              <w:pStyle w:val="Tabellenbody"/>
            </w:pPr>
            <w:bookmarkStart w:id="188" w:name="ID0EAWAG"/>
            <w:bookmarkEnd w:id="188"/>
            <w:r>
              <w:t> </w:t>
            </w:r>
          </w:p>
        </w:tc>
      </w:tr>
      <w:tr w:rsidR="00C02512">
        <w:tc>
          <w:tcPr>
            <w:tcW w:w="6164" w:type="dxa"/>
          </w:tcPr>
          <w:p w:rsidR="00C02512" w:rsidRDefault="001D4B06">
            <w:pPr>
              <w:pStyle w:val="Tabellenbody"/>
            </w:pPr>
            <w:bookmarkStart w:id="189" w:name="ID0ENWAG"/>
            <w:bookmarkEnd w:id="189"/>
            <w:r>
              <w:t>t(1;3)(p36.3;q21.2)</w:t>
            </w:r>
          </w:p>
        </w:tc>
        <w:tc>
          <w:tcPr>
            <w:tcW w:w="1687" w:type="dxa"/>
          </w:tcPr>
          <w:p w:rsidR="00C02512" w:rsidRDefault="001D4B06">
            <w:pPr>
              <w:pStyle w:val="Tabellenbody"/>
            </w:pPr>
            <w:bookmarkStart w:id="190" w:name="ID0EYWAG"/>
            <w:bookmarkEnd w:id="190"/>
            <w:r>
              <w:t>1%</w:t>
            </w:r>
          </w:p>
        </w:tc>
        <w:tc>
          <w:tcPr>
            <w:tcW w:w="1788" w:type="dxa"/>
          </w:tcPr>
          <w:p w:rsidR="00C02512" w:rsidRDefault="001D4B06">
            <w:pPr>
              <w:pStyle w:val="Tabellenbody"/>
            </w:pPr>
            <w:bookmarkStart w:id="191" w:name="ID0EDXAG"/>
            <w:bookmarkEnd w:id="191"/>
            <w:r>
              <w:t> </w:t>
            </w:r>
          </w:p>
        </w:tc>
      </w:tr>
      <w:tr w:rsidR="00C02512">
        <w:tc>
          <w:tcPr>
            <w:tcW w:w="6164" w:type="dxa"/>
          </w:tcPr>
          <w:p w:rsidR="00C02512" w:rsidRDefault="001D4B06">
            <w:pPr>
              <w:pStyle w:val="Tabellenbody"/>
            </w:pPr>
            <w:bookmarkStart w:id="192" w:name="ID0EQXAG"/>
            <w:bookmarkEnd w:id="192"/>
            <w:r>
              <w:t>t(2;11)(p21;q23)</w:t>
            </w:r>
          </w:p>
        </w:tc>
        <w:tc>
          <w:tcPr>
            <w:tcW w:w="1687" w:type="dxa"/>
          </w:tcPr>
          <w:p w:rsidR="00C02512" w:rsidRDefault="001D4B06">
            <w:pPr>
              <w:pStyle w:val="Tabellenbody"/>
            </w:pPr>
            <w:bookmarkStart w:id="193" w:name="ID0E2XAG"/>
            <w:bookmarkEnd w:id="193"/>
            <w:r>
              <w:t>1%</w:t>
            </w:r>
          </w:p>
        </w:tc>
        <w:tc>
          <w:tcPr>
            <w:tcW w:w="1788" w:type="dxa"/>
          </w:tcPr>
          <w:p w:rsidR="00C02512" w:rsidRDefault="001D4B06">
            <w:pPr>
              <w:pStyle w:val="Tabellenbody"/>
            </w:pPr>
            <w:bookmarkStart w:id="194" w:name="ID0EGYAG"/>
            <w:bookmarkEnd w:id="194"/>
            <w:r>
              <w:t> </w:t>
            </w:r>
          </w:p>
        </w:tc>
      </w:tr>
      <w:tr w:rsidR="00C02512">
        <w:tc>
          <w:tcPr>
            <w:tcW w:w="6164" w:type="dxa"/>
          </w:tcPr>
          <w:p w:rsidR="00C02512" w:rsidRDefault="001D4B06">
            <w:pPr>
              <w:pStyle w:val="Tabellenbody"/>
            </w:pPr>
            <w:bookmarkStart w:id="195" w:name="ID0ETYAG"/>
            <w:bookmarkEnd w:id="195"/>
            <w:r>
              <w:t>inv(3)(q21.3q26.2)/t(3;3)(q21.3;q26.2)</w:t>
            </w:r>
          </w:p>
        </w:tc>
        <w:tc>
          <w:tcPr>
            <w:tcW w:w="1687" w:type="dxa"/>
          </w:tcPr>
          <w:p w:rsidR="00C02512" w:rsidRDefault="001D4B06">
            <w:pPr>
              <w:pStyle w:val="Tabellenbody"/>
            </w:pPr>
            <w:bookmarkStart w:id="196" w:name="ID0E5YAG"/>
            <w:bookmarkEnd w:id="196"/>
            <w:r>
              <w:t>1%</w:t>
            </w:r>
          </w:p>
        </w:tc>
        <w:tc>
          <w:tcPr>
            <w:tcW w:w="1788" w:type="dxa"/>
          </w:tcPr>
          <w:p w:rsidR="00C02512" w:rsidRDefault="001D4B06">
            <w:pPr>
              <w:pStyle w:val="Tabellenbody"/>
            </w:pPr>
            <w:bookmarkStart w:id="197" w:name="ID0EJZAG"/>
            <w:bookmarkEnd w:id="197"/>
            <w:r>
              <w:t> </w:t>
            </w:r>
          </w:p>
        </w:tc>
      </w:tr>
      <w:tr w:rsidR="00C02512">
        <w:tc>
          <w:tcPr>
            <w:tcW w:w="6164" w:type="dxa"/>
          </w:tcPr>
          <w:p w:rsidR="00C02512" w:rsidRDefault="001D4B06">
            <w:pPr>
              <w:pStyle w:val="Tabellenbody"/>
            </w:pPr>
            <w:bookmarkStart w:id="198" w:name="ID0EWZAG"/>
            <w:bookmarkEnd w:id="198"/>
            <w:r>
              <w:t>t(6;9)(p23;q34)</w:t>
            </w:r>
          </w:p>
        </w:tc>
        <w:tc>
          <w:tcPr>
            <w:tcW w:w="1687" w:type="dxa"/>
          </w:tcPr>
          <w:p w:rsidR="00C02512" w:rsidRDefault="001D4B06">
            <w:pPr>
              <w:pStyle w:val="Tabellenbody"/>
            </w:pPr>
            <w:bookmarkStart w:id="199" w:name="ID0EB1AG"/>
            <w:bookmarkEnd w:id="199"/>
            <w:r>
              <w:t>1%</w:t>
            </w:r>
          </w:p>
        </w:tc>
        <w:tc>
          <w:tcPr>
            <w:tcW w:w="1788" w:type="dxa"/>
          </w:tcPr>
          <w:p w:rsidR="00C02512" w:rsidRDefault="001D4B06">
            <w:pPr>
              <w:pStyle w:val="Tabellenbody"/>
            </w:pPr>
            <w:bookmarkStart w:id="200" w:name="ID0EM1AG"/>
            <w:bookmarkEnd w:id="200"/>
            <w:r>
              <w:t> </w:t>
            </w:r>
          </w:p>
        </w:tc>
      </w:tr>
    </w:tbl>
    <w:p w:rsidR="00C02512" w:rsidRDefault="001D4B06">
      <w:pPr>
        <w:pStyle w:val="Legende"/>
      </w:pPr>
      <w:r>
        <w:rPr>
          <w:b/>
        </w:rPr>
        <w:t xml:space="preserve">Legende: </w:t>
      </w:r>
      <w:r>
        <w:t>* +8, del(20q), oder-Y als isolierte Anomalie bei Fehlen von morphologischen MDS-Kriteren wird nicht als definitives Diagnosekriterium für MDS betrachtet. Bei persistierender Zytopenie unklarer Ursache sind die anderen Anomal</w:t>
      </w:r>
      <w:r>
        <w:t xml:space="preserve">ien der </w:t>
      </w:r>
      <w:hyperlink w:anchor="ID0EBFAG" w:history="1">
        <w:r>
          <w:rPr>
            <w:rStyle w:val="Hyperlink"/>
          </w:rPr>
          <w:t>Tabelle 3</w:t>
        </w:r>
      </w:hyperlink>
      <w:r>
        <w:t xml:space="preserve"> als diagnostisch für MDS zu betrachten, auch wenn die morphologischen MDS-Kriterien nicht eindeutig sind.</w:t>
      </w:r>
    </w:p>
    <w:p w:rsidR="00C02512" w:rsidRDefault="001D4B06">
      <w:pPr>
        <w:pStyle w:val="Tabellenbeschriftung"/>
      </w:pPr>
      <w:bookmarkStart w:id="201" w:name="ID0E51AG"/>
      <w:r>
        <w:t>Tabelle 4</w:t>
      </w:r>
      <w:bookmarkEnd w:id="201"/>
      <w:r>
        <w:t xml:space="preserve">: </w:t>
      </w:r>
      <w:r>
        <w:t>WHO-Klassifikation (2016) myelodysplastisch/myeloproliferativer Neoplasien</w:t>
      </w:r>
    </w:p>
    <w:tbl>
      <w:tblPr>
        <w:tblStyle w:val="TabelleKomplett"/>
        <w:tblW w:w="9640" w:type="dxa"/>
        <w:tblLayout w:type="fixed"/>
        <w:tblLook w:val="04A0" w:firstRow="1" w:lastRow="0" w:firstColumn="1" w:lastColumn="0" w:noHBand="0" w:noVBand="1"/>
      </w:tblPr>
      <w:tblGrid>
        <w:gridCol w:w="3106"/>
        <w:gridCol w:w="2557"/>
        <w:gridCol w:w="3977"/>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3105" w:type="dxa"/>
          </w:tcPr>
          <w:p w:rsidR="00C02512" w:rsidRDefault="001D4B06">
            <w:pPr>
              <w:pStyle w:val="Tabellenkopf"/>
            </w:pPr>
            <w:bookmarkStart w:id="202" w:name="ID0E62AG"/>
            <w:bookmarkEnd w:id="202"/>
            <w:r>
              <w:t>Typ</w:t>
            </w:r>
          </w:p>
        </w:tc>
        <w:tc>
          <w:tcPr>
            <w:tcW w:w="2557" w:type="dxa"/>
          </w:tcPr>
          <w:p w:rsidR="00C02512" w:rsidRDefault="001D4B06">
            <w:pPr>
              <w:pStyle w:val="Tabellenkopf"/>
            </w:pPr>
            <w:bookmarkStart w:id="203" w:name="ID0ER3AG"/>
            <w:bookmarkEnd w:id="203"/>
            <w:r>
              <w:t>Blut</w:t>
            </w:r>
          </w:p>
        </w:tc>
        <w:tc>
          <w:tcPr>
            <w:tcW w:w="3977" w:type="dxa"/>
          </w:tcPr>
          <w:p w:rsidR="00C02512" w:rsidRDefault="001D4B06">
            <w:pPr>
              <w:pStyle w:val="Tabellenkopf"/>
            </w:pPr>
            <w:bookmarkStart w:id="204" w:name="ID0ED4AG"/>
            <w:bookmarkEnd w:id="204"/>
            <w:r>
              <w:t>Knochenma</w:t>
            </w:r>
            <w:r>
              <w:t>rk</w:t>
            </w:r>
          </w:p>
        </w:tc>
      </w:tr>
      <w:tr w:rsidR="00C02512">
        <w:tc>
          <w:tcPr>
            <w:tcW w:w="3105" w:type="dxa"/>
          </w:tcPr>
          <w:p w:rsidR="00C02512" w:rsidRDefault="001D4B06">
            <w:pPr>
              <w:pStyle w:val="Tabellenbody"/>
            </w:pPr>
            <w:bookmarkStart w:id="205" w:name="ID0EW4AG"/>
            <w:bookmarkEnd w:id="205"/>
            <w:r>
              <w:t>Chronische Myelomonozytäre Leukämie I (CMML 0)</w:t>
            </w:r>
          </w:p>
        </w:tc>
        <w:tc>
          <w:tcPr>
            <w:tcW w:w="2557" w:type="dxa"/>
          </w:tcPr>
          <w:p w:rsidR="00C02512" w:rsidRDefault="001D4B06">
            <w:pPr>
              <w:pStyle w:val="Tabellenbody"/>
            </w:pPr>
            <w:bookmarkStart w:id="206" w:name="ID0EH5AG"/>
            <w:bookmarkEnd w:id="206"/>
            <w:r>
              <w:t>&lt;2 % Blasten</w:t>
            </w:r>
          </w:p>
          <w:p w:rsidR="00C02512" w:rsidRDefault="001D4B06">
            <w:pPr>
              <w:pStyle w:val="Tabellenbody"/>
            </w:pPr>
            <w:bookmarkStart w:id="207" w:name="ID0EK5AG"/>
            <w:bookmarkEnd w:id="207"/>
            <w:r>
              <w:t>Uni- oder Bizytopenie</w:t>
            </w:r>
          </w:p>
          <w:p w:rsidR="00C02512" w:rsidRDefault="001D4B06">
            <w:pPr>
              <w:pStyle w:val="Tabellenbody"/>
            </w:pPr>
            <w:bookmarkStart w:id="208" w:name="ID0EN5AG"/>
            <w:bookmarkEnd w:id="208"/>
            <w:r>
              <w:t>Monozyten &gt;1000/µl, Monozyten &gt;10 % der Leukozytenzahl,</w:t>
            </w:r>
          </w:p>
          <w:p w:rsidR="00C02512" w:rsidRDefault="001D4B06">
            <w:pPr>
              <w:pStyle w:val="Tabellenbody"/>
            </w:pPr>
            <w:bookmarkStart w:id="209" w:name="ID0EQ5AG"/>
            <w:bookmarkEnd w:id="209"/>
            <w:r>
              <w:t>keine Auerstäbchen</w:t>
            </w:r>
          </w:p>
        </w:tc>
        <w:tc>
          <w:tcPr>
            <w:tcW w:w="3977" w:type="dxa"/>
          </w:tcPr>
          <w:p w:rsidR="00C02512" w:rsidRDefault="001D4B06">
            <w:pPr>
              <w:pStyle w:val="Tabellenbody"/>
            </w:pPr>
            <w:bookmarkStart w:id="210" w:name="ID0EB6AG"/>
            <w:bookmarkEnd w:id="210"/>
            <w:r>
              <w:t>&lt;5 % Blasten, Dysplasien in &gt;10 % der Zellen in 1-3 Reihen, keine Auerstäbchen</w:t>
            </w:r>
          </w:p>
          <w:p w:rsidR="00C02512" w:rsidRDefault="001D4B06">
            <w:pPr>
              <w:pStyle w:val="Tabellenbody"/>
            </w:pPr>
            <w:bookmarkStart w:id="211" w:name="ID0EE6AG"/>
            <w:bookmarkEnd w:id="211"/>
            <w:r>
              <w:t>kein BCR-ABL, PD</w:t>
            </w:r>
            <w:r>
              <w:t>GFR a oder b, FGFR1, PCM1-JAK2</w:t>
            </w:r>
          </w:p>
          <w:p w:rsidR="00C02512" w:rsidRDefault="00C02512">
            <w:pPr>
              <w:pStyle w:val="Tabellenbody"/>
            </w:pPr>
            <w:bookmarkStart w:id="212" w:name="ID0EH6AG"/>
            <w:bookmarkEnd w:id="212"/>
          </w:p>
        </w:tc>
      </w:tr>
      <w:tr w:rsidR="00C02512">
        <w:tc>
          <w:tcPr>
            <w:tcW w:w="3105" w:type="dxa"/>
          </w:tcPr>
          <w:p w:rsidR="00C02512" w:rsidRDefault="001D4B06">
            <w:pPr>
              <w:pStyle w:val="Tabellenbody"/>
            </w:pPr>
            <w:bookmarkStart w:id="213" w:name="ID0EY6AG"/>
            <w:bookmarkEnd w:id="213"/>
            <w:r>
              <w:t>Chronische Myelomonozytäre Leukämie I (CMML I)</w:t>
            </w:r>
          </w:p>
        </w:tc>
        <w:tc>
          <w:tcPr>
            <w:tcW w:w="2557" w:type="dxa"/>
          </w:tcPr>
          <w:p w:rsidR="00C02512" w:rsidRDefault="001D4B06">
            <w:pPr>
              <w:pStyle w:val="Tabellenbody"/>
            </w:pPr>
            <w:bookmarkStart w:id="214" w:name="ID0EJABG"/>
            <w:bookmarkEnd w:id="214"/>
            <w:r>
              <w:t>&lt;5 % Blasten</w:t>
            </w:r>
          </w:p>
          <w:p w:rsidR="00C02512" w:rsidRDefault="001D4B06">
            <w:pPr>
              <w:pStyle w:val="Tabellenbody"/>
            </w:pPr>
            <w:bookmarkStart w:id="215" w:name="ID0EMABG"/>
            <w:bookmarkEnd w:id="215"/>
            <w:r>
              <w:t>Uni- oder Bizytopenie</w:t>
            </w:r>
          </w:p>
          <w:p w:rsidR="00C02512" w:rsidRDefault="001D4B06">
            <w:pPr>
              <w:pStyle w:val="Tabellenbody"/>
            </w:pPr>
            <w:bookmarkStart w:id="216" w:name="ID0EPABG"/>
            <w:bookmarkEnd w:id="216"/>
            <w:r>
              <w:t>Monozyten &gt;1000/µl, Monozyten &gt;10 % der Leukozytenzahl,</w:t>
            </w:r>
          </w:p>
          <w:p w:rsidR="00C02512" w:rsidRDefault="001D4B06">
            <w:pPr>
              <w:pStyle w:val="Tabellenbody"/>
            </w:pPr>
            <w:bookmarkStart w:id="217" w:name="ID0ESABG"/>
            <w:bookmarkEnd w:id="217"/>
            <w:r>
              <w:t>keine Auerstäbchen</w:t>
            </w:r>
          </w:p>
        </w:tc>
        <w:tc>
          <w:tcPr>
            <w:tcW w:w="3977" w:type="dxa"/>
          </w:tcPr>
          <w:p w:rsidR="00C02512" w:rsidRDefault="001D4B06">
            <w:pPr>
              <w:pStyle w:val="Tabellenbody"/>
            </w:pPr>
            <w:bookmarkStart w:id="218" w:name="ID0EDBBG"/>
            <w:bookmarkEnd w:id="218"/>
            <w:r>
              <w:t>&lt;10 % Blasten, Dysplasien in &gt;</w:t>
            </w:r>
            <w:r>
              <w:t>10 % der Zellen in 1-3 Reihen, keine Auerstäbchen</w:t>
            </w:r>
          </w:p>
          <w:p w:rsidR="00C02512" w:rsidRDefault="001D4B06">
            <w:pPr>
              <w:pStyle w:val="Tabellenbody"/>
            </w:pPr>
            <w:bookmarkStart w:id="219" w:name="ID0EGBBG"/>
            <w:bookmarkEnd w:id="219"/>
            <w:r>
              <w:t xml:space="preserve">kein BCR-ABL, PDGFR a oder b, FGFR1, PCM1-JAK2 </w:t>
            </w:r>
          </w:p>
          <w:p w:rsidR="00C02512" w:rsidRDefault="00C02512">
            <w:pPr>
              <w:pStyle w:val="Tabellenbody"/>
            </w:pPr>
            <w:bookmarkStart w:id="220" w:name="ID0EJBBG"/>
            <w:bookmarkEnd w:id="220"/>
          </w:p>
        </w:tc>
      </w:tr>
      <w:tr w:rsidR="00C02512">
        <w:tc>
          <w:tcPr>
            <w:tcW w:w="3105" w:type="dxa"/>
          </w:tcPr>
          <w:p w:rsidR="00C02512" w:rsidRDefault="001D4B06">
            <w:pPr>
              <w:pStyle w:val="Tabellenbody"/>
            </w:pPr>
            <w:bookmarkStart w:id="221" w:name="ID0E1BBG"/>
            <w:bookmarkEnd w:id="221"/>
            <w:r>
              <w:t>Chronische Myelomonozytäre Leukämie II (CMML II)</w:t>
            </w:r>
          </w:p>
        </w:tc>
        <w:tc>
          <w:tcPr>
            <w:tcW w:w="2557" w:type="dxa"/>
          </w:tcPr>
          <w:p w:rsidR="00C02512" w:rsidRDefault="001D4B06">
            <w:pPr>
              <w:pStyle w:val="Tabellenbody"/>
            </w:pPr>
            <w:bookmarkStart w:id="222" w:name="ID0ELCBG"/>
            <w:bookmarkEnd w:id="222"/>
            <w:r>
              <w:t>&lt;20 % Blasten</w:t>
            </w:r>
          </w:p>
          <w:p w:rsidR="00C02512" w:rsidRDefault="001D4B06">
            <w:pPr>
              <w:pStyle w:val="Tabellenbody"/>
            </w:pPr>
            <w:bookmarkStart w:id="223" w:name="ID0EOCBG"/>
            <w:bookmarkEnd w:id="223"/>
            <w:r>
              <w:t>Uni- oder Bizytopenie</w:t>
            </w:r>
          </w:p>
          <w:p w:rsidR="00C02512" w:rsidRDefault="001D4B06">
            <w:pPr>
              <w:pStyle w:val="Tabellenbody"/>
            </w:pPr>
            <w:bookmarkStart w:id="224" w:name="ID0ERCBG"/>
            <w:bookmarkEnd w:id="224"/>
            <w:r>
              <w:t xml:space="preserve">Monozyten &gt;1000/µl </w:t>
            </w:r>
          </w:p>
          <w:p w:rsidR="00C02512" w:rsidRDefault="001D4B06">
            <w:pPr>
              <w:pStyle w:val="Tabellenbody"/>
            </w:pPr>
            <w:bookmarkStart w:id="225" w:name="ID0EUCBG"/>
            <w:bookmarkEnd w:id="225"/>
            <w:r>
              <w:t>Auerstäbchen möglich</w:t>
            </w:r>
          </w:p>
        </w:tc>
        <w:tc>
          <w:tcPr>
            <w:tcW w:w="3977" w:type="dxa"/>
          </w:tcPr>
          <w:p w:rsidR="00C02512" w:rsidRDefault="001D4B06">
            <w:pPr>
              <w:pStyle w:val="Tabellenbody"/>
            </w:pPr>
            <w:bookmarkStart w:id="226" w:name="ID0EFDBG"/>
            <w:bookmarkEnd w:id="226"/>
            <w:r>
              <w:t>&lt;20 % Blasten, Dysplasien in &gt;</w:t>
            </w:r>
            <w:r>
              <w:t>10 % der Zellen in 1-3 Reihen, Auerstäbchen möglich</w:t>
            </w:r>
          </w:p>
          <w:p w:rsidR="00C02512" w:rsidRDefault="001D4B06">
            <w:pPr>
              <w:pStyle w:val="Tabellenbody"/>
            </w:pPr>
            <w:bookmarkStart w:id="227" w:name="ID0EIDBG"/>
            <w:bookmarkEnd w:id="227"/>
            <w:r>
              <w:t>kein BCR-ABL, PDGFR a oder b, FGFR1, PCM1-JAK2</w:t>
            </w:r>
          </w:p>
          <w:p w:rsidR="00C02512" w:rsidRDefault="00C02512">
            <w:pPr>
              <w:pStyle w:val="Tabellenbody"/>
            </w:pPr>
            <w:bookmarkStart w:id="228" w:name="ID0ELDBG"/>
            <w:bookmarkEnd w:id="228"/>
          </w:p>
        </w:tc>
      </w:tr>
      <w:tr w:rsidR="00C02512">
        <w:tc>
          <w:tcPr>
            <w:tcW w:w="3105" w:type="dxa"/>
          </w:tcPr>
          <w:p w:rsidR="00C02512" w:rsidRDefault="001D4B06">
            <w:pPr>
              <w:pStyle w:val="Tabellenbody"/>
            </w:pPr>
            <w:bookmarkStart w:id="229" w:name="ID0E3DBG"/>
            <w:bookmarkEnd w:id="229"/>
            <w:r>
              <w:t>Refraktäre Anämie mit Ringsideroblasten und Thrombozytose (RARS-T)</w:t>
            </w:r>
          </w:p>
        </w:tc>
        <w:tc>
          <w:tcPr>
            <w:tcW w:w="2557" w:type="dxa"/>
          </w:tcPr>
          <w:p w:rsidR="00C02512" w:rsidRDefault="001D4B06">
            <w:pPr>
              <w:pStyle w:val="Tabellenbody"/>
            </w:pPr>
            <w:bookmarkStart w:id="230" w:name="ID0ENEBG"/>
            <w:bookmarkEnd w:id="230"/>
            <w:r>
              <w:t>≤1 % Blasten</w:t>
            </w:r>
          </w:p>
          <w:p w:rsidR="00C02512" w:rsidRDefault="001D4B06">
            <w:pPr>
              <w:pStyle w:val="Tabellenbody"/>
            </w:pPr>
            <w:bookmarkStart w:id="231" w:name="ID0EREBG"/>
            <w:bookmarkEnd w:id="231"/>
            <w:r>
              <w:t>Zytopenie(n), Thrombozyten &gt;450.000/µl,</w:t>
            </w:r>
          </w:p>
          <w:p w:rsidR="00C02512" w:rsidRDefault="00C02512">
            <w:pPr>
              <w:pStyle w:val="Tabellenbody"/>
            </w:pPr>
            <w:bookmarkStart w:id="232" w:name="ID0EUEBG"/>
            <w:bookmarkEnd w:id="232"/>
          </w:p>
        </w:tc>
        <w:tc>
          <w:tcPr>
            <w:tcW w:w="3977" w:type="dxa"/>
          </w:tcPr>
          <w:p w:rsidR="00C02512" w:rsidRDefault="001D4B06">
            <w:pPr>
              <w:pStyle w:val="Tabellenbody"/>
            </w:pPr>
            <w:bookmarkStart w:id="233" w:name="ID0EEFBG"/>
            <w:bookmarkEnd w:id="233"/>
            <w:r>
              <w:t>&lt;5 % Blasten, &gt;</w:t>
            </w:r>
            <w:r>
              <w:t>15 % Ringsideroblasten innerhalb der Erythropoiese, Dyplasien in &gt;10 % der Zellen in 1-3 Reihen, keine Auerstäbchen, oft JAK-2 und SF3B1 Mutationen</w:t>
            </w:r>
          </w:p>
        </w:tc>
      </w:tr>
    </w:tbl>
    <w:p w:rsidR="00C02512" w:rsidRDefault="001D4B06">
      <w:pPr>
        <w:pStyle w:val="Tabellenbeschriftung"/>
      </w:pPr>
      <w:bookmarkStart w:id="234" w:name="ID0EIFBG"/>
      <w:r>
        <w:t>Tabelle 5</w:t>
      </w:r>
      <w:bookmarkEnd w:id="234"/>
      <w:r>
        <w:t xml:space="preserve">: </w:t>
      </w:r>
      <w:r>
        <w:t>Molekulargenetik</w:t>
      </w:r>
    </w:p>
    <w:tbl>
      <w:tblPr>
        <w:tblStyle w:val="TabelleKomplett"/>
        <w:tblW w:w="9640" w:type="dxa"/>
        <w:tblLayout w:type="fixed"/>
        <w:tblLook w:val="04A0" w:firstRow="1" w:lastRow="0" w:firstColumn="1" w:lastColumn="0" w:noHBand="0" w:noVBand="1"/>
      </w:tblPr>
      <w:tblGrid>
        <w:gridCol w:w="3517"/>
        <w:gridCol w:w="2448"/>
        <w:gridCol w:w="1636"/>
        <w:gridCol w:w="2039"/>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3516" w:type="dxa"/>
          </w:tcPr>
          <w:p w:rsidR="00C02512" w:rsidRDefault="001D4B06">
            <w:pPr>
              <w:pStyle w:val="Tabellenkopf"/>
            </w:pPr>
            <w:bookmarkStart w:id="235" w:name="ID0EBGBG"/>
            <w:bookmarkEnd w:id="235"/>
            <w:r>
              <w:t>Funktion</w:t>
            </w:r>
          </w:p>
        </w:tc>
        <w:tc>
          <w:tcPr>
            <w:tcW w:w="2447" w:type="dxa"/>
          </w:tcPr>
          <w:p w:rsidR="00C02512" w:rsidRDefault="001D4B06">
            <w:pPr>
              <w:pStyle w:val="Tabellenkopf"/>
            </w:pPr>
            <w:bookmarkStart w:id="236" w:name="ID0EJGBG"/>
            <w:bookmarkEnd w:id="236"/>
            <w:r>
              <w:t>Mutation</w:t>
            </w:r>
          </w:p>
        </w:tc>
        <w:tc>
          <w:tcPr>
            <w:tcW w:w="1636" w:type="dxa"/>
          </w:tcPr>
          <w:p w:rsidR="00C02512" w:rsidRDefault="001D4B06">
            <w:pPr>
              <w:pStyle w:val="Tabellenkopf"/>
            </w:pPr>
            <w:bookmarkStart w:id="237" w:name="ID0ERGBG"/>
            <w:bookmarkEnd w:id="237"/>
            <w:r>
              <w:t>Prognose</w:t>
            </w:r>
          </w:p>
        </w:tc>
        <w:tc>
          <w:tcPr>
            <w:tcW w:w="2039" w:type="dxa"/>
          </w:tcPr>
          <w:p w:rsidR="00C02512" w:rsidRDefault="001D4B06">
            <w:pPr>
              <w:pStyle w:val="Tabellenkopf"/>
            </w:pPr>
            <w:bookmarkStart w:id="238" w:name="ID0EZGBG"/>
            <w:bookmarkEnd w:id="238"/>
            <w:r>
              <w:t>Frequenz</w:t>
            </w:r>
          </w:p>
        </w:tc>
      </w:tr>
      <w:tr w:rsidR="00C02512">
        <w:tc>
          <w:tcPr>
            <w:tcW w:w="3516" w:type="dxa"/>
            <w:vMerge w:val="restart"/>
          </w:tcPr>
          <w:p w:rsidR="00C02512" w:rsidRDefault="001D4B06">
            <w:pPr>
              <w:pStyle w:val="Tabellenbody"/>
            </w:pPr>
            <w:bookmarkStart w:id="239" w:name="ID0EBHBG"/>
            <w:bookmarkEnd w:id="239"/>
            <w:r>
              <w:t>Splicing</w:t>
            </w:r>
          </w:p>
        </w:tc>
        <w:tc>
          <w:tcPr>
            <w:tcW w:w="2447" w:type="dxa"/>
          </w:tcPr>
          <w:p w:rsidR="00C02512" w:rsidRDefault="001D4B06">
            <w:pPr>
              <w:pStyle w:val="Tabellenbody"/>
            </w:pPr>
            <w:bookmarkStart w:id="240" w:name="ID0EHHBG"/>
            <w:bookmarkEnd w:id="240"/>
            <w:r>
              <w:t>SF3B1</w:t>
            </w:r>
          </w:p>
        </w:tc>
        <w:tc>
          <w:tcPr>
            <w:tcW w:w="1636" w:type="dxa"/>
          </w:tcPr>
          <w:p w:rsidR="00C02512" w:rsidRDefault="001D4B06">
            <w:pPr>
              <w:pStyle w:val="Tabellenbody"/>
            </w:pPr>
            <w:bookmarkStart w:id="241" w:name="ID0ENHBG"/>
            <w:bookmarkEnd w:id="241"/>
            <w:r>
              <w:t>good</w:t>
            </w:r>
          </w:p>
        </w:tc>
        <w:tc>
          <w:tcPr>
            <w:tcW w:w="2039" w:type="dxa"/>
          </w:tcPr>
          <w:p w:rsidR="00C02512" w:rsidRDefault="001D4B06">
            <w:pPr>
              <w:pStyle w:val="Tabellenbody"/>
            </w:pPr>
            <w:bookmarkStart w:id="242" w:name="ID0ETHBG"/>
            <w:bookmarkEnd w:id="242"/>
            <w:r>
              <w:t>15-30 %</w:t>
            </w:r>
          </w:p>
        </w:tc>
      </w:tr>
      <w:tr w:rsidR="00C02512">
        <w:tc>
          <w:tcPr>
            <w:tcW w:w="3516" w:type="dxa"/>
            <w:vMerge/>
          </w:tcPr>
          <w:p w:rsidR="00C02512" w:rsidRDefault="00C02512"/>
        </w:tc>
        <w:tc>
          <w:tcPr>
            <w:tcW w:w="2447" w:type="dxa"/>
          </w:tcPr>
          <w:p w:rsidR="00C02512" w:rsidRDefault="001D4B06">
            <w:pPr>
              <w:pStyle w:val="Tabellenbody"/>
            </w:pPr>
            <w:bookmarkStart w:id="243" w:name="ID0E2HBG"/>
            <w:bookmarkEnd w:id="243"/>
            <w:r>
              <w:t>SRSF2</w:t>
            </w:r>
          </w:p>
        </w:tc>
        <w:tc>
          <w:tcPr>
            <w:tcW w:w="1636" w:type="dxa"/>
          </w:tcPr>
          <w:p w:rsidR="00C02512" w:rsidRDefault="001D4B06">
            <w:pPr>
              <w:pStyle w:val="Tabellenbody"/>
            </w:pPr>
            <w:bookmarkStart w:id="244" w:name="ID0ECIBG"/>
            <w:bookmarkEnd w:id="244"/>
            <w:r>
              <w:t>poor</w:t>
            </w:r>
          </w:p>
        </w:tc>
        <w:tc>
          <w:tcPr>
            <w:tcW w:w="2039" w:type="dxa"/>
          </w:tcPr>
          <w:p w:rsidR="00C02512" w:rsidRDefault="001D4B06">
            <w:pPr>
              <w:pStyle w:val="Tabellenbody"/>
            </w:pPr>
            <w:bookmarkStart w:id="245" w:name="ID0EJIBG"/>
            <w:bookmarkEnd w:id="245"/>
            <w:r>
              <w:t>5-10 %</w:t>
            </w:r>
          </w:p>
        </w:tc>
      </w:tr>
      <w:tr w:rsidR="00C02512">
        <w:tc>
          <w:tcPr>
            <w:tcW w:w="3516" w:type="dxa"/>
            <w:vMerge/>
          </w:tcPr>
          <w:p w:rsidR="00C02512" w:rsidRDefault="00C02512"/>
        </w:tc>
        <w:tc>
          <w:tcPr>
            <w:tcW w:w="2447" w:type="dxa"/>
          </w:tcPr>
          <w:p w:rsidR="00C02512" w:rsidRDefault="001D4B06">
            <w:pPr>
              <w:pStyle w:val="Tabellenbody"/>
            </w:pPr>
            <w:bookmarkStart w:id="246" w:name="ID0ERIBG"/>
            <w:bookmarkEnd w:id="246"/>
            <w:r>
              <w:t>U2AF1</w:t>
            </w:r>
          </w:p>
        </w:tc>
        <w:tc>
          <w:tcPr>
            <w:tcW w:w="1636" w:type="dxa"/>
          </w:tcPr>
          <w:p w:rsidR="00C02512" w:rsidRDefault="001D4B06">
            <w:pPr>
              <w:pStyle w:val="Tabellenbody"/>
            </w:pPr>
            <w:bookmarkStart w:id="247" w:name="ID0EYIBG"/>
            <w:bookmarkEnd w:id="247"/>
            <w:r>
              <w:t>poor</w:t>
            </w:r>
          </w:p>
        </w:tc>
        <w:tc>
          <w:tcPr>
            <w:tcW w:w="2039" w:type="dxa"/>
          </w:tcPr>
          <w:p w:rsidR="00C02512" w:rsidRDefault="001D4B06">
            <w:pPr>
              <w:pStyle w:val="Tabellenbody"/>
            </w:pPr>
            <w:bookmarkStart w:id="248" w:name="ID0E6IBG"/>
            <w:bookmarkEnd w:id="248"/>
            <w:r>
              <w:t>5-10 %</w:t>
            </w:r>
          </w:p>
        </w:tc>
      </w:tr>
      <w:tr w:rsidR="00C02512">
        <w:tc>
          <w:tcPr>
            <w:tcW w:w="3516" w:type="dxa"/>
            <w:vMerge/>
          </w:tcPr>
          <w:p w:rsidR="00C02512" w:rsidRDefault="00C02512"/>
        </w:tc>
        <w:tc>
          <w:tcPr>
            <w:tcW w:w="2447" w:type="dxa"/>
          </w:tcPr>
          <w:p w:rsidR="00C02512" w:rsidRDefault="001D4B06">
            <w:pPr>
              <w:pStyle w:val="Tabellenbody"/>
            </w:pPr>
            <w:bookmarkStart w:id="249" w:name="ID0EIJBG"/>
            <w:bookmarkEnd w:id="249"/>
            <w:r>
              <w:t>ZRSR2</w:t>
            </w:r>
          </w:p>
        </w:tc>
        <w:tc>
          <w:tcPr>
            <w:tcW w:w="1636" w:type="dxa"/>
          </w:tcPr>
          <w:p w:rsidR="00C02512" w:rsidRDefault="001D4B06">
            <w:pPr>
              <w:pStyle w:val="Tabellenbody"/>
            </w:pPr>
            <w:bookmarkStart w:id="250" w:name="ID0EQJBG"/>
            <w:bookmarkEnd w:id="250"/>
            <w:r>
              <w:t>neutral</w:t>
            </w:r>
          </w:p>
        </w:tc>
        <w:tc>
          <w:tcPr>
            <w:tcW w:w="2039" w:type="dxa"/>
          </w:tcPr>
          <w:p w:rsidR="00C02512" w:rsidRDefault="001D4B06">
            <w:pPr>
              <w:pStyle w:val="Tabellenbody"/>
            </w:pPr>
            <w:bookmarkStart w:id="251" w:name="ID0EYJBG"/>
            <w:bookmarkEnd w:id="251"/>
            <w:r>
              <w:t>5 %</w:t>
            </w:r>
          </w:p>
        </w:tc>
      </w:tr>
      <w:tr w:rsidR="00C02512">
        <w:tc>
          <w:tcPr>
            <w:tcW w:w="3516" w:type="dxa"/>
            <w:vMerge w:val="restart"/>
          </w:tcPr>
          <w:p w:rsidR="00C02512" w:rsidRDefault="001D4B06">
            <w:pPr>
              <w:pStyle w:val="Tabellenbody"/>
            </w:pPr>
            <w:bookmarkStart w:id="252" w:name="ID0E6JBG"/>
            <w:bookmarkEnd w:id="252"/>
            <w:r>
              <w:t>Methylierung</w:t>
            </w:r>
          </w:p>
        </w:tc>
        <w:tc>
          <w:tcPr>
            <w:tcW w:w="2447" w:type="dxa"/>
          </w:tcPr>
          <w:p w:rsidR="00C02512" w:rsidRDefault="001D4B06">
            <w:pPr>
              <w:pStyle w:val="Tabellenbody"/>
            </w:pPr>
            <w:bookmarkStart w:id="253" w:name="ID0EFKBG"/>
            <w:bookmarkEnd w:id="253"/>
            <w:r>
              <w:t>DNMT3A</w:t>
            </w:r>
          </w:p>
        </w:tc>
        <w:tc>
          <w:tcPr>
            <w:tcW w:w="1636" w:type="dxa"/>
          </w:tcPr>
          <w:p w:rsidR="00C02512" w:rsidRDefault="001D4B06">
            <w:pPr>
              <w:pStyle w:val="Tabellenbody"/>
            </w:pPr>
            <w:bookmarkStart w:id="254" w:name="ID0ELKBG"/>
            <w:bookmarkEnd w:id="254"/>
            <w:r>
              <w:t>poor</w:t>
            </w:r>
          </w:p>
        </w:tc>
        <w:tc>
          <w:tcPr>
            <w:tcW w:w="2039" w:type="dxa"/>
          </w:tcPr>
          <w:p w:rsidR="00C02512" w:rsidRDefault="001D4B06">
            <w:pPr>
              <w:pStyle w:val="Tabellenbody"/>
            </w:pPr>
            <w:bookmarkStart w:id="255" w:name="ID0ERKBG"/>
            <w:bookmarkEnd w:id="255"/>
            <w:r>
              <w:t>5-10 %</w:t>
            </w:r>
          </w:p>
        </w:tc>
      </w:tr>
      <w:tr w:rsidR="00C02512">
        <w:tc>
          <w:tcPr>
            <w:tcW w:w="3516" w:type="dxa"/>
            <w:vMerge/>
          </w:tcPr>
          <w:p w:rsidR="00C02512" w:rsidRDefault="00C02512"/>
        </w:tc>
        <w:tc>
          <w:tcPr>
            <w:tcW w:w="2447" w:type="dxa"/>
          </w:tcPr>
          <w:p w:rsidR="00C02512" w:rsidRDefault="001D4B06">
            <w:pPr>
              <w:pStyle w:val="Tabellenbody"/>
            </w:pPr>
            <w:bookmarkStart w:id="256" w:name="ID0EYKBG"/>
            <w:bookmarkEnd w:id="256"/>
            <w:r>
              <w:t>TET2</w:t>
            </w:r>
          </w:p>
        </w:tc>
        <w:tc>
          <w:tcPr>
            <w:tcW w:w="1636" w:type="dxa"/>
          </w:tcPr>
          <w:p w:rsidR="00C02512" w:rsidRDefault="001D4B06">
            <w:pPr>
              <w:pStyle w:val="Tabellenbody"/>
            </w:pPr>
            <w:bookmarkStart w:id="257" w:name="ID0E5KBG"/>
            <w:bookmarkEnd w:id="257"/>
            <w:r>
              <w:t xml:space="preserve">neutral </w:t>
            </w:r>
          </w:p>
        </w:tc>
        <w:tc>
          <w:tcPr>
            <w:tcW w:w="2039" w:type="dxa"/>
          </w:tcPr>
          <w:p w:rsidR="00C02512" w:rsidRDefault="001D4B06">
            <w:pPr>
              <w:pStyle w:val="Tabellenbody"/>
            </w:pPr>
            <w:bookmarkStart w:id="258" w:name="ID0EELBG"/>
            <w:bookmarkEnd w:id="258"/>
            <w:r>
              <w:t>15-25 %</w:t>
            </w:r>
          </w:p>
        </w:tc>
      </w:tr>
      <w:tr w:rsidR="00C02512">
        <w:tc>
          <w:tcPr>
            <w:tcW w:w="3516" w:type="dxa"/>
          </w:tcPr>
          <w:p w:rsidR="00C02512" w:rsidRDefault="001D4B06">
            <w:pPr>
              <w:pStyle w:val="Tabellenbody"/>
            </w:pPr>
            <w:bookmarkStart w:id="259" w:name="ID0EKLBG"/>
            <w:bookmarkEnd w:id="259"/>
            <w:r>
              <w:lastRenderedPageBreak/>
              <w:t>Methylation/ Histone Modifikation</w:t>
            </w:r>
          </w:p>
        </w:tc>
        <w:tc>
          <w:tcPr>
            <w:tcW w:w="2447" w:type="dxa"/>
          </w:tcPr>
          <w:p w:rsidR="00C02512" w:rsidRDefault="001D4B06">
            <w:pPr>
              <w:pStyle w:val="Tabellenbody"/>
            </w:pPr>
            <w:bookmarkStart w:id="260" w:name="ID0ERLBG"/>
            <w:bookmarkEnd w:id="260"/>
            <w:r>
              <w:t>IDH1/ IDH2</w:t>
            </w:r>
          </w:p>
        </w:tc>
        <w:tc>
          <w:tcPr>
            <w:tcW w:w="1636" w:type="dxa"/>
          </w:tcPr>
          <w:p w:rsidR="00C02512" w:rsidRDefault="001D4B06">
            <w:pPr>
              <w:pStyle w:val="Tabellenbody"/>
            </w:pPr>
            <w:bookmarkStart w:id="261" w:name="ID0EYLBG"/>
            <w:bookmarkEnd w:id="261"/>
            <w:r>
              <w:t>mixed evidence</w:t>
            </w:r>
          </w:p>
        </w:tc>
        <w:tc>
          <w:tcPr>
            <w:tcW w:w="2039" w:type="dxa"/>
          </w:tcPr>
          <w:p w:rsidR="00C02512" w:rsidRDefault="001D4B06">
            <w:pPr>
              <w:pStyle w:val="Tabellenbody"/>
            </w:pPr>
            <w:bookmarkStart w:id="262" w:name="ID0E6LBG"/>
            <w:bookmarkEnd w:id="262"/>
            <w:r>
              <w:t>4-5 %</w:t>
            </w:r>
          </w:p>
        </w:tc>
      </w:tr>
      <w:tr w:rsidR="00C02512">
        <w:tc>
          <w:tcPr>
            <w:tcW w:w="3516" w:type="dxa"/>
            <w:vMerge w:val="restart"/>
          </w:tcPr>
          <w:p w:rsidR="00C02512" w:rsidRDefault="001D4B06">
            <w:pPr>
              <w:pStyle w:val="Tabellenbody"/>
            </w:pPr>
            <w:bookmarkStart w:id="263" w:name="ID0EGMBG"/>
            <w:bookmarkEnd w:id="263"/>
            <w:r>
              <w:t>Histone Modifikation</w:t>
            </w:r>
          </w:p>
        </w:tc>
        <w:tc>
          <w:tcPr>
            <w:tcW w:w="2447" w:type="dxa"/>
          </w:tcPr>
          <w:p w:rsidR="00C02512" w:rsidRDefault="001D4B06">
            <w:pPr>
              <w:pStyle w:val="Tabellenbody"/>
            </w:pPr>
            <w:bookmarkStart w:id="264" w:name="ID0EMMBG"/>
            <w:bookmarkEnd w:id="264"/>
            <w:r>
              <w:t>ASXL1</w:t>
            </w:r>
          </w:p>
        </w:tc>
        <w:tc>
          <w:tcPr>
            <w:tcW w:w="1636" w:type="dxa"/>
          </w:tcPr>
          <w:p w:rsidR="00C02512" w:rsidRDefault="001D4B06">
            <w:pPr>
              <w:pStyle w:val="Tabellenbody"/>
            </w:pPr>
            <w:bookmarkStart w:id="265" w:name="ID0ESMBG"/>
            <w:bookmarkEnd w:id="265"/>
            <w:r>
              <w:t>poor</w:t>
            </w:r>
          </w:p>
        </w:tc>
        <w:tc>
          <w:tcPr>
            <w:tcW w:w="2039" w:type="dxa"/>
          </w:tcPr>
          <w:p w:rsidR="00C02512" w:rsidRDefault="001D4B06">
            <w:pPr>
              <w:pStyle w:val="Tabellenbody"/>
            </w:pPr>
            <w:bookmarkStart w:id="266" w:name="ID0EYMBG"/>
            <w:bookmarkEnd w:id="266"/>
            <w:r>
              <w:t>10-20 %</w:t>
            </w:r>
          </w:p>
        </w:tc>
      </w:tr>
      <w:tr w:rsidR="00C02512">
        <w:tc>
          <w:tcPr>
            <w:tcW w:w="3516" w:type="dxa"/>
            <w:vMerge/>
          </w:tcPr>
          <w:p w:rsidR="00C02512" w:rsidRDefault="00C02512"/>
        </w:tc>
        <w:tc>
          <w:tcPr>
            <w:tcW w:w="2447" w:type="dxa"/>
          </w:tcPr>
          <w:p w:rsidR="00C02512" w:rsidRDefault="001D4B06">
            <w:pPr>
              <w:pStyle w:val="Tabellenbody"/>
            </w:pPr>
            <w:bookmarkStart w:id="267" w:name="ID0EBNBG"/>
            <w:bookmarkEnd w:id="267"/>
            <w:r>
              <w:t>EZH2</w:t>
            </w:r>
          </w:p>
        </w:tc>
        <w:tc>
          <w:tcPr>
            <w:tcW w:w="1636" w:type="dxa"/>
          </w:tcPr>
          <w:p w:rsidR="00C02512" w:rsidRDefault="001D4B06">
            <w:pPr>
              <w:pStyle w:val="Tabellenbody"/>
            </w:pPr>
            <w:bookmarkStart w:id="268" w:name="ID0EJNBG"/>
            <w:bookmarkEnd w:id="268"/>
            <w:r>
              <w:t>poor</w:t>
            </w:r>
          </w:p>
        </w:tc>
        <w:tc>
          <w:tcPr>
            <w:tcW w:w="2039" w:type="dxa"/>
          </w:tcPr>
          <w:p w:rsidR="00C02512" w:rsidRDefault="001D4B06">
            <w:pPr>
              <w:pStyle w:val="Tabellenbody"/>
            </w:pPr>
            <w:bookmarkStart w:id="269" w:name="ID0ERNBG"/>
            <w:bookmarkEnd w:id="269"/>
            <w:r>
              <w:t>3-7 %</w:t>
            </w:r>
          </w:p>
        </w:tc>
      </w:tr>
      <w:tr w:rsidR="00C02512">
        <w:tc>
          <w:tcPr>
            <w:tcW w:w="3516" w:type="dxa"/>
            <w:vMerge w:val="restart"/>
          </w:tcPr>
          <w:p w:rsidR="00C02512" w:rsidRDefault="001D4B06">
            <w:pPr>
              <w:pStyle w:val="Tabellenbody"/>
            </w:pPr>
            <w:bookmarkStart w:id="270" w:name="ID0EYNBG"/>
            <w:bookmarkEnd w:id="270"/>
            <w:r>
              <w:t>Transkriptionsfaktor</w:t>
            </w:r>
          </w:p>
        </w:tc>
        <w:tc>
          <w:tcPr>
            <w:tcW w:w="2447" w:type="dxa"/>
          </w:tcPr>
          <w:p w:rsidR="00C02512" w:rsidRDefault="001D4B06">
            <w:pPr>
              <w:pStyle w:val="Tabellenbody"/>
            </w:pPr>
            <w:bookmarkStart w:id="271" w:name="ID0E5NBG"/>
            <w:bookmarkEnd w:id="271"/>
            <w:r>
              <w:t>RUNX1</w:t>
            </w:r>
          </w:p>
        </w:tc>
        <w:tc>
          <w:tcPr>
            <w:tcW w:w="1636" w:type="dxa"/>
          </w:tcPr>
          <w:p w:rsidR="00C02512" w:rsidRDefault="001D4B06">
            <w:pPr>
              <w:pStyle w:val="Tabellenbody"/>
            </w:pPr>
            <w:bookmarkStart w:id="272" w:name="ID0EEOBG"/>
            <w:bookmarkEnd w:id="272"/>
            <w:r>
              <w:t>poor</w:t>
            </w:r>
          </w:p>
        </w:tc>
        <w:tc>
          <w:tcPr>
            <w:tcW w:w="2039" w:type="dxa"/>
          </w:tcPr>
          <w:p w:rsidR="00C02512" w:rsidRDefault="001D4B06">
            <w:pPr>
              <w:pStyle w:val="Tabellenbody"/>
            </w:pPr>
            <w:bookmarkStart w:id="273" w:name="ID0EKOBG"/>
            <w:bookmarkEnd w:id="273"/>
            <w:r>
              <w:t>5-10 %</w:t>
            </w:r>
          </w:p>
        </w:tc>
      </w:tr>
      <w:tr w:rsidR="00C02512">
        <w:tc>
          <w:tcPr>
            <w:tcW w:w="3516" w:type="dxa"/>
            <w:vMerge/>
          </w:tcPr>
          <w:p w:rsidR="00C02512" w:rsidRDefault="00C02512"/>
        </w:tc>
        <w:tc>
          <w:tcPr>
            <w:tcW w:w="2447" w:type="dxa"/>
          </w:tcPr>
          <w:p w:rsidR="00C02512" w:rsidRDefault="001D4B06">
            <w:pPr>
              <w:pStyle w:val="Tabellenbody"/>
            </w:pPr>
            <w:bookmarkStart w:id="274" w:name="ID0ESOBG"/>
            <w:bookmarkEnd w:id="274"/>
            <w:r>
              <w:t>TP53</w:t>
            </w:r>
          </w:p>
        </w:tc>
        <w:tc>
          <w:tcPr>
            <w:tcW w:w="1636" w:type="dxa"/>
          </w:tcPr>
          <w:p w:rsidR="00C02512" w:rsidRDefault="001D4B06">
            <w:pPr>
              <w:pStyle w:val="Tabellenbody"/>
            </w:pPr>
            <w:bookmarkStart w:id="275" w:name="ID0EZOBG"/>
            <w:bookmarkEnd w:id="275"/>
            <w:r>
              <w:t>poor</w:t>
            </w:r>
          </w:p>
        </w:tc>
        <w:tc>
          <w:tcPr>
            <w:tcW w:w="2039" w:type="dxa"/>
          </w:tcPr>
          <w:p w:rsidR="00C02512" w:rsidRDefault="001D4B06">
            <w:pPr>
              <w:pStyle w:val="Tabellenbody"/>
            </w:pPr>
            <w:bookmarkStart w:id="276" w:name="ID0EAPBG"/>
            <w:bookmarkEnd w:id="276"/>
            <w:r>
              <w:t>5-10 %</w:t>
            </w:r>
          </w:p>
        </w:tc>
      </w:tr>
      <w:tr w:rsidR="00C02512">
        <w:tc>
          <w:tcPr>
            <w:tcW w:w="3516" w:type="dxa"/>
            <w:vMerge/>
          </w:tcPr>
          <w:p w:rsidR="00C02512" w:rsidRDefault="00C02512"/>
        </w:tc>
        <w:tc>
          <w:tcPr>
            <w:tcW w:w="2447" w:type="dxa"/>
          </w:tcPr>
          <w:p w:rsidR="00C02512" w:rsidRDefault="001D4B06">
            <w:pPr>
              <w:pStyle w:val="Tabellenbody"/>
            </w:pPr>
            <w:bookmarkStart w:id="277" w:name="ID0EIPBG"/>
            <w:bookmarkEnd w:id="277"/>
            <w:r>
              <w:t>BCOR</w:t>
            </w:r>
          </w:p>
        </w:tc>
        <w:tc>
          <w:tcPr>
            <w:tcW w:w="1636" w:type="dxa"/>
          </w:tcPr>
          <w:p w:rsidR="00C02512" w:rsidRDefault="001D4B06">
            <w:pPr>
              <w:pStyle w:val="Tabellenbody"/>
            </w:pPr>
            <w:bookmarkStart w:id="278" w:name="ID0EPPBG"/>
            <w:bookmarkEnd w:id="278"/>
            <w:r>
              <w:t>poor</w:t>
            </w:r>
          </w:p>
        </w:tc>
        <w:tc>
          <w:tcPr>
            <w:tcW w:w="2039" w:type="dxa"/>
          </w:tcPr>
          <w:p w:rsidR="00C02512" w:rsidRDefault="001D4B06">
            <w:pPr>
              <w:pStyle w:val="Tabellenbody"/>
            </w:pPr>
            <w:bookmarkStart w:id="279" w:name="ID0EWPBG"/>
            <w:bookmarkEnd w:id="279"/>
            <w:r>
              <w:t>5-6 %</w:t>
            </w:r>
          </w:p>
        </w:tc>
      </w:tr>
      <w:tr w:rsidR="00C02512">
        <w:tc>
          <w:tcPr>
            <w:tcW w:w="3516" w:type="dxa"/>
            <w:vMerge/>
          </w:tcPr>
          <w:p w:rsidR="00C02512" w:rsidRDefault="00C02512"/>
        </w:tc>
        <w:tc>
          <w:tcPr>
            <w:tcW w:w="2447" w:type="dxa"/>
          </w:tcPr>
          <w:p w:rsidR="00C02512" w:rsidRDefault="001D4B06">
            <w:pPr>
              <w:pStyle w:val="Tabellenbody"/>
            </w:pPr>
            <w:bookmarkStart w:id="280" w:name="ID0E4PBG"/>
            <w:bookmarkEnd w:id="280"/>
            <w:r>
              <w:t>ETV6</w:t>
            </w:r>
          </w:p>
        </w:tc>
        <w:tc>
          <w:tcPr>
            <w:tcW w:w="1636" w:type="dxa"/>
          </w:tcPr>
          <w:p w:rsidR="00C02512" w:rsidRDefault="001D4B06">
            <w:pPr>
              <w:pStyle w:val="Tabellenbody"/>
            </w:pPr>
            <w:bookmarkStart w:id="281" w:name="ID0EDQBG"/>
            <w:bookmarkEnd w:id="281"/>
            <w:r>
              <w:t>poor</w:t>
            </w:r>
          </w:p>
        </w:tc>
        <w:tc>
          <w:tcPr>
            <w:tcW w:w="2039" w:type="dxa"/>
          </w:tcPr>
          <w:p w:rsidR="00C02512" w:rsidRDefault="001D4B06">
            <w:pPr>
              <w:pStyle w:val="Tabellenbody"/>
            </w:pPr>
            <w:bookmarkStart w:id="282" w:name="ID0EJQBG"/>
            <w:bookmarkEnd w:id="282"/>
            <w:r>
              <w:t>3 %</w:t>
            </w:r>
          </w:p>
        </w:tc>
      </w:tr>
      <w:tr w:rsidR="00C02512">
        <w:tc>
          <w:tcPr>
            <w:tcW w:w="3516" w:type="dxa"/>
          </w:tcPr>
          <w:p w:rsidR="00C02512" w:rsidRDefault="001D4B06">
            <w:pPr>
              <w:pStyle w:val="Tabellenbody"/>
            </w:pPr>
            <w:bookmarkStart w:id="283" w:name="ID0EPQBG"/>
            <w:bookmarkEnd w:id="283"/>
            <w:r>
              <w:t>Signaltransduktion</w:t>
            </w:r>
          </w:p>
        </w:tc>
        <w:tc>
          <w:tcPr>
            <w:tcW w:w="2447" w:type="dxa"/>
          </w:tcPr>
          <w:p w:rsidR="00C02512" w:rsidRDefault="001D4B06">
            <w:pPr>
              <w:pStyle w:val="Tabellenbody"/>
            </w:pPr>
            <w:bookmarkStart w:id="284" w:name="ID0EUQBG"/>
            <w:bookmarkEnd w:id="284"/>
            <w:r>
              <w:t>NRAS/KRAS</w:t>
            </w:r>
          </w:p>
        </w:tc>
        <w:tc>
          <w:tcPr>
            <w:tcW w:w="1636" w:type="dxa"/>
          </w:tcPr>
          <w:p w:rsidR="00C02512" w:rsidRDefault="001D4B06">
            <w:pPr>
              <w:pStyle w:val="Tabellenbody"/>
            </w:pPr>
            <w:bookmarkStart w:id="285" w:name="ID0EZQBG"/>
            <w:bookmarkEnd w:id="285"/>
            <w:r>
              <w:t>poor</w:t>
            </w:r>
          </w:p>
        </w:tc>
        <w:tc>
          <w:tcPr>
            <w:tcW w:w="2039" w:type="dxa"/>
          </w:tcPr>
          <w:p w:rsidR="00C02512" w:rsidRDefault="001D4B06">
            <w:pPr>
              <w:pStyle w:val="Tabellenbody"/>
            </w:pPr>
            <w:bookmarkStart w:id="286" w:name="ID0E5QBG"/>
            <w:bookmarkEnd w:id="286"/>
            <w:r>
              <w:t>5-10 %</w:t>
            </w:r>
          </w:p>
        </w:tc>
      </w:tr>
    </w:tbl>
    <w:p w:rsidR="00C02512" w:rsidRDefault="001D4B06">
      <w:pPr>
        <w:pStyle w:val="Legende"/>
      </w:pPr>
      <w:r>
        <w:rPr>
          <w:b/>
        </w:rPr>
        <w:t xml:space="preserve">Legende: </w:t>
      </w:r>
      <w:r>
        <w:t>*Die Bestimmung von TP53, ASXL1, RUNX1 und EZH2 bei niedrig- und intermediär-Risikopatienten ist aus prognostischen Gründen obligat.</w:t>
      </w:r>
    </w:p>
    <w:p w:rsidR="00C02512" w:rsidRDefault="001D4B06">
      <w:pPr>
        <w:pStyle w:val="berschrift2"/>
      </w:pPr>
      <w:bookmarkStart w:id="287" w:name="ID0EJRBG"/>
      <w:bookmarkEnd w:id="287"/>
      <w:r>
        <w:t>Prognostische Faktoren</w:t>
      </w:r>
    </w:p>
    <w:p w:rsidR="00C02512" w:rsidRDefault="001D4B06">
      <w:bookmarkStart w:id="288" w:name="ID0EPRBG"/>
      <w:bookmarkEnd w:id="288"/>
      <w:r>
        <w:t>Zur Abschätzung der Prognose können neben Alter, Geschlecht und Komorbiditäten vor allem krankheitsbiologische Parameter herangezogen werden. Die wichtigsten Prognoseparameter sind neben dem Alter der medulläre Blastenanteil und zyto</w:t>
      </w:r>
      <w:r>
        <w:t>genetische Befunde, gefolgt von Transfusionsbedarf, Blutzellwerten und LDH. Es stehen zwei wichtige validierte Prognosesysteme zur Verfügung, die zur Abschätzung des individuellen Risikos des Patienten Anwendung finden können (IPSS, IPSS-R) (</w:t>
      </w:r>
      <w:hyperlink w:anchor="ID0EQSBG" w:history="1">
        <w:r>
          <w:rPr>
            <w:rStyle w:val="Hyperlink"/>
          </w:rPr>
          <w:t>Tabellen 6</w:t>
        </w:r>
      </w:hyperlink>
      <w:r>
        <w:t xml:space="preserve"> und </w:t>
      </w:r>
      <w:hyperlink w:anchor="ID0EZBAI" w:history="1">
        <w:r>
          <w:rPr>
            <w:rStyle w:val="Hyperlink"/>
          </w:rPr>
          <w:t>7</w:t>
        </w:r>
      </w:hyperlink>
      <w:r>
        <w:t xml:space="preserve">) </w:t>
      </w:r>
      <w:r>
        <w:rPr>
          <w:rStyle w:val="Literaturverweis"/>
        </w:rPr>
        <w:t>[</w:t>
      </w:r>
      <w:hyperlink w:anchor="litID0EGYBI" w:history="1">
        <w:r>
          <w:rPr>
            <w:rStyle w:val="Literaturverweis"/>
          </w:rPr>
          <w:t>8</w:t>
        </w:r>
      </w:hyperlink>
      <w:r>
        <w:rPr>
          <w:rStyle w:val="Literaturverweis"/>
        </w:rPr>
        <w:t>,</w:t>
      </w:r>
      <w:hyperlink w:anchor="litID0EQYBI" w:history="1">
        <w:r>
          <w:rPr>
            <w:rStyle w:val="Literaturverweis"/>
          </w:rPr>
          <w:t>9</w:t>
        </w:r>
      </w:hyperlink>
      <w:r>
        <w:rPr>
          <w:rStyle w:val="Literaturverweis"/>
        </w:rPr>
        <w:t>,</w:t>
      </w:r>
      <w:hyperlink w:anchor="litID0EQWBI" w:history="1">
        <w:r>
          <w:rPr>
            <w:rStyle w:val="Literaturverweis"/>
          </w:rPr>
          <w:t>3</w:t>
        </w:r>
      </w:hyperlink>
      <w:r>
        <w:rPr>
          <w:rStyle w:val="Literaturverweis"/>
        </w:rPr>
        <w:t>]</w:t>
      </w:r>
      <w:r>
        <w:t>; hierzu ist die Verfügbarkeit der zytogenetischen Analyse des Knochenmarkes des Patienten erfor</w:t>
      </w:r>
      <w:r>
        <w:t>derlich. Mithilfe dieser Prognosescores werden die Patienten verschiedenen Risikogruppen zugeordnet, wodurch die Therapieplanung unter Berücksichtigung von Alter, Allgemeinzustand und Wunsch des Patienten wesentlich beeinflußt wird. Die aktuelle Version de</w:t>
      </w:r>
      <w:r>
        <w:t xml:space="preserve">s Internationalen Prognose Scoring Systems (IPSS-R) berücksichtigt den Einfluß der Zytopenien, der chromosomalen Veränderungen </w:t>
      </w:r>
      <w:r>
        <w:rPr>
          <w:rStyle w:val="Literaturverweis"/>
        </w:rPr>
        <w:t>[</w:t>
      </w:r>
      <w:hyperlink w:anchor="litID0EAWBI" w:history="1">
        <w:r>
          <w:rPr>
            <w:rStyle w:val="Literaturverweis"/>
          </w:rPr>
          <w:t>2</w:t>
        </w:r>
      </w:hyperlink>
      <w:r>
        <w:rPr>
          <w:rStyle w:val="Literaturverweis"/>
        </w:rPr>
        <w:t>]</w:t>
      </w:r>
      <w:r>
        <w:t xml:space="preserve"> sowie die Anzahl der Knochenmarkblasten. Patienten, die der Risikogruppe „intermediate-2 oder </w:t>
      </w:r>
      <w:r>
        <w:t>high“ nach IPSS zugeordnet werden, haben eine mediane Überlebenswahrscheinlichkeit von 1-2 Jahren. Patienten der „intermediate-1 oder low“-Risikogruppen haben eine mediane Überlebenswahrscheinlichkeit von 3-5 Jahren.</w:t>
      </w:r>
    </w:p>
    <w:p w:rsidR="00C02512" w:rsidRDefault="001D4B06">
      <w:pPr>
        <w:pStyle w:val="Tabellenbeschriftung"/>
      </w:pPr>
      <w:bookmarkStart w:id="289" w:name="ID0EQSBG"/>
      <w:r>
        <w:t>Tabelle 6</w:t>
      </w:r>
      <w:bookmarkEnd w:id="289"/>
      <w:r>
        <w:t xml:space="preserve">: </w:t>
      </w:r>
      <w:r>
        <w:t>Definition des IPSS (Interna</w:t>
      </w:r>
      <w:r>
        <w:t xml:space="preserve">tional Prognostic Scoring System) </w:t>
      </w:r>
    </w:p>
    <w:tbl>
      <w:tblPr>
        <w:tblStyle w:val="TabelleKomplett"/>
        <w:tblW w:w="9640" w:type="dxa"/>
        <w:tblLayout w:type="fixed"/>
        <w:tblLook w:val="04A0" w:firstRow="1" w:lastRow="0" w:firstColumn="1" w:lastColumn="0" w:noHBand="0" w:noVBand="1"/>
      </w:tblPr>
      <w:tblGrid>
        <w:gridCol w:w="3563"/>
        <w:gridCol w:w="1224"/>
        <w:gridCol w:w="1224"/>
        <w:gridCol w:w="1384"/>
        <w:gridCol w:w="1263"/>
        <w:gridCol w:w="982"/>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9638" w:type="dxa"/>
            <w:gridSpan w:val="6"/>
          </w:tcPr>
          <w:p w:rsidR="00C02512" w:rsidRDefault="001D4B06">
            <w:pPr>
              <w:pStyle w:val="Tabellenkopf"/>
            </w:pPr>
            <w:bookmarkStart w:id="290" w:name="ID0E2TBG"/>
            <w:bookmarkEnd w:id="290"/>
            <w:r>
              <w:t>Score-Punkte</w:t>
            </w:r>
          </w:p>
        </w:tc>
      </w:tr>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3561" w:type="dxa"/>
          </w:tcPr>
          <w:p w:rsidR="00C02512" w:rsidRDefault="00C02512">
            <w:pPr>
              <w:pStyle w:val="Tabellenkopf"/>
            </w:pPr>
          </w:p>
        </w:tc>
        <w:tc>
          <w:tcPr>
            <w:tcW w:w="1224" w:type="dxa"/>
          </w:tcPr>
          <w:p w:rsidR="00C02512" w:rsidRDefault="001D4B06">
            <w:pPr>
              <w:pStyle w:val="Tabellenkopf"/>
            </w:pPr>
            <w:bookmarkStart w:id="291" w:name="ID0ERUBG"/>
            <w:bookmarkEnd w:id="291"/>
            <w:r>
              <w:t>0</w:t>
            </w:r>
          </w:p>
        </w:tc>
        <w:tc>
          <w:tcPr>
            <w:tcW w:w="1224" w:type="dxa"/>
          </w:tcPr>
          <w:p w:rsidR="00C02512" w:rsidRDefault="001D4B06">
            <w:pPr>
              <w:pStyle w:val="Tabellenkopf"/>
            </w:pPr>
            <w:bookmarkStart w:id="292" w:name="ID0E4UBG"/>
            <w:bookmarkEnd w:id="292"/>
            <w:r>
              <w:t>0,5</w:t>
            </w:r>
          </w:p>
        </w:tc>
        <w:tc>
          <w:tcPr>
            <w:tcW w:w="1384" w:type="dxa"/>
          </w:tcPr>
          <w:p w:rsidR="00C02512" w:rsidRDefault="001D4B06">
            <w:pPr>
              <w:pStyle w:val="Tabellenkopf"/>
            </w:pPr>
            <w:bookmarkStart w:id="293" w:name="ID0EJVBG"/>
            <w:bookmarkEnd w:id="293"/>
            <w:r>
              <w:t>1</w:t>
            </w:r>
          </w:p>
        </w:tc>
        <w:tc>
          <w:tcPr>
            <w:tcW w:w="1263" w:type="dxa"/>
          </w:tcPr>
          <w:p w:rsidR="00C02512" w:rsidRDefault="001D4B06">
            <w:pPr>
              <w:pStyle w:val="Tabellenkopf"/>
            </w:pPr>
            <w:bookmarkStart w:id="294" w:name="ID0EVVBG"/>
            <w:bookmarkEnd w:id="294"/>
            <w:r>
              <w:t>1,5</w:t>
            </w:r>
          </w:p>
        </w:tc>
        <w:tc>
          <w:tcPr>
            <w:tcW w:w="982" w:type="dxa"/>
          </w:tcPr>
          <w:p w:rsidR="00C02512" w:rsidRDefault="001D4B06">
            <w:pPr>
              <w:pStyle w:val="Tabellenkopf"/>
            </w:pPr>
            <w:bookmarkStart w:id="295" w:name="ID0EBWBG"/>
            <w:bookmarkEnd w:id="295"/>
            <w:r>
              <w:t>2</w:t>
            </w:r>
          </w:p>
        </w:tc>
      </w:tr>
      <w:tr w:rsidR="00C02512">
        <w:tc>
          <w:tcPr>
            <w:tcW w:w="3561" w:type="dxa"/>
          </w:tcPr>
          <w:p w:rsidR="00C02512" w:rsidRDefault="001D4B06">
            <w:pPr>
              <w:pStyle w:val="Tabellenbody"/>
            </w:pPr>
            <w:bookmarkStart w:id="296" w:name="ID0EPWBG"/>
            <w:bookmarkEnd w:id="296"/>
            <w:r>
              <w:t>Med. Blasten ( %)</w:t>
            </w:r>
          </w:p>
        </w:tc>
        <w:tc>
          <w:tcPr>
            <w:tcW w:w="1224" w:type="dxa"/>
          </w:tcPr>
          <w:p w:rsidR="00C02512" w:rsidRDefault="001D4B06">
            <w:pPr>
              <w:pStyle w:val="Tabellenbody"/>
            </w:pPr>
            <w:bookmarkStart w:id="297" w:name="ID0E1WBG"/>
            <w:bookmarkEnd w:id="297"/>
            <w:r>
              <w:t>&lt;5</w:t>
            </w:r>
          </w:p>
        </w:tc>
        <w:tc>
          <w:tcPr>
            <w:tcW w:w="1224" w:type="dxa"/>
          </w:tcPr>
          <w:p w:rsidR="00C02512" w:rsidRDefault="001D4B06">
            <w:pPr>
              <w:pStyle w:val="Tabellenbody"/>
            </w:pPr>
            <w:bookmarkStart w:id="298" w:name="ID0EFXBG"/>
            <w:bookmarkEnd w:id="298"/>
            <w:r>
              <w:t>5-10</w:t>
            </w:r>
          </w:p>
        </w:tc>
        <w:tc>
          <w:tcPr>
            <w:tcW w:w="1384" w:type="dxa"/>
          </w:tcPr>
          <w:p w:rsidR="00C02512" w:rsidRDefault="001D4B06">
            <w:pPr>
              <w:pStyle w:val="Tabellenbody"/>
            </w:pPr>
            <w:bookmarkStart w:id="299" w:name="ID0EQXBG"/>
            <w:bookmarkEnd w:id="299"/>
            <w:r>
              <w:t>-</w:t>
            </w:r>
          </w:p>
        </w:tc>
        <w:tc>
          <w:tcPr>
            <w:tcW w:w="1263" w:type="dxa"/>
          </w:tcPr>
          <w:p w:rsidR="00C02512" w:rsidRDefault="001D4B06">
            <w:pPr>
              <w:pStyle w:val="Tabellenbody"/>
            </w:pPr>
            <w:bookmarkStart w:id="300" w:name="ID0E2XBG"/>
            <w:bookmarkEnd w:id="300"/>
            <w:r>
              <w:t>11-20</w:t>
            </w:r>
          </w:p>
        </w:tc>
        <w:tc>
          <w:tcPr>
            <w:tcW w:w="982" w:type="dxa"/>
          </w:tcPr>
          <w:p w:rsidR="00C02512" w:rsidRDefault="001D4B06">
            <w:pPr>
              <w:pStyle w:val="Tabellenbody"/>
            </w:pPr>
            <w:bookmarkStart w:id="301" w:name="ID0EGYBG"/>
            <w:bookmarkEnd w:id="301"/>
            <w:r>
              <w:t>21-30</w:t>
            </w:r>
          </w:p>
        </w:tc>
      </w:tr>
      <w:tr w:rsidR="00C02512">
        <w:tc>
          <w:tcPr>
            <w:tcW w:w="3561" w:type="dxa"/>
          </w:tcPr>
          <w:p w:rsidR="00C02512" w:rsidRDefault="001D4B06">
            <w:pPr>
              <w:pStyle w:val="Tabellenbody"/>
            </w:pPr>
            <w:bookmarkStart w:id="302" w:name="ID0ETYBG"/>
            <w:bookmarkEnd w:id="302"/>
            <w:r>
              <w:t>Karyotyp*</w:t>
            </w:r>
          </w:p>
        </w:tc>
        <w:tc>
          <w:tcPr>
            <w:tcW w:w="1224" w:type="dxa"/>
          </w:tcPr>
          <w:p w:rsidR="00C02512" w:rsidRDefault="001D4B06">
            <w:pPr>
              <w:pStyle w:val="Tabellenbody"/>
            </w:pPr>
            <w:bookmarkStart w:id="303" w:name="ID0E5YBG"/>
            <w:bookmarkEnd w:id="303"/>
            <w:r>
              <w:t>günstig</w:t>
            </w:r>
          </w:p>
        </w:tc>
        <w:tc>
          <w:tcPr>
            <w:tcW w:w="1224" w:type="dxa"/>
          </w:tcPr>
          <w:p w:rsidR="00C02512" w:rsidRDefault="001D4B06">
            <w:pPr>
              <w:pStyle w:val="Tabellenbody"/>
            </w:pPr>
            <w:bookmarkStart w:id="304" w:name="ID0EJZBG"/>
            <w:bookmarkEnd w:id="304"/>
            <w:r>
              <w:t>interm.</w:t>
            </w:r>
          </w:p>
        </w:tc>
        <w:tc>
          <w:tcPr>
            <w:tcW w:w="1384" w:type="dxa"/>
          </w:tcPr>
          <w:p w:rsidR="00C02512" w:rsidRDefault="001D4B06">
            <w:pPr>
              <w:pStyle w:val="Tabellenbody"/>
            </w:pPr>
            <w:bookmarkStart w:id="305" w:name="ID0EUZBG"/>
            <w:bookmarkEnd w:id="305"/>
            <w:r>
              <w:t>schlecht</w:t>
            </w:r>
          </w:p>
        </w:tc>
        <w:tc>
          <w:tcPr>
            <w:tcW w:w="1263" w:type="dxa"/>
          </w:tcPr>
          <w:p w:rsidR="00C02512" w:rsidRDefault="001D4B06">
            <w:pPr>
              <w:pStyle w:val="Tabellenbody"/>
            </w:pPr>
            <w:bookmarkStart w:id="306" w:name="ID0E6ZBG"/>
            <w:bookmarkEnd w:id="306"/>
            <w:r>
              <w:t>-</w:t>
            </w:r>
          </w:p>
        </w:tc>
        <w:tc>
          <w:tcPr>
            <w:tcW w:w="982" w:type="dxa"/>
          </w:tcPr>
          <w:p w:rsidR="00C02512" w:rsidRDefault="001D4B06">
            <w:pPr>
              <w:pStyle w:val="Tabellenbody"/>
            </w:pPr>
            <w:bookmarkStart w:id="307" w:name="ID0EK1BG"/>
            <w:bookmarkEnd w:id="307"/>
            <w:r>
              <w:t>-</w:t>
            </w:r>
          </w:p>
        </w:tc>
      </w:tr>
      <w:tr w:rsidR="00C02512">
        <w:tc>
          <w:tcPr>
            <w:tcW w:w="3561" w:type="dxa"/>
          </w:tcPr>
          <w:p w:rsidR="00C02512" w:rsidRDefault="001D4B06">
            <w:pPr>
              <w:pStyle w:val="Tabellenbody"/>
            </w:pPr>
            <w:bookmarkStart w:id="308" w:name="ID0EX1BG"/>
            <w:bookmarkEnd w:id="308"/>
            <w:r>
              <w:t>Zahl der Zytopenien**</w:t>
            </w:r>
          </w:p>
        </w:tc>
        <w:tc>
          <w:tcPr>
            <w:tcW w:w="1224" w:type="dxa"/>
          </w:tcPr>
          <w:p w:rsidR="00C02512" w:rsidRDefault="001D4B06">
            <w:pPr>
              <w:pStyle w:val="Tabellenbody"/>
            </w:pPr>
            <w:bookmarkStart w:id="309" w:name="ID0EC2BG"/>
            <w:bookmarkEnd w:id="309"/>
            <w:r>
              <w:t>0/1</w:t>
            </w:r>
          </w:p>
        </w:tc>
        <w:tc>
          <w:tcPr>
            <w:tcW w:w="1224" w:type="dxa"/>
          </w:tcPr>
          <w:p w:rsidR="00C02512" w:rsidRDefault="001D4B06">
            <w:pPr>
              <w:pStyle w:val="Tabellenbody"/>
            </w:pPr>
            <w:bookmarkStart w:id="310" w:name="ID0EN2BG"/>
            <w:bookmarkEnd w:id="310"/>
            <w:r>
              <w:t>2/3</w:t>
            </w:r>
          </w:p>
        </w:tc>
        <w:tc>
          <w:tcPr>
            <w:tcW w:w="1384" w:type="dxa"/>
          </w:tcPr>
          <w:p w:rsidR="00C02512" w:rsidRDefault="001D4B06">
            <w:pPr>
              <w:pStyle w:val="Tabellenbody"/>
            </w:pPr>
            <w:bookmarkStart w:id="311" w:name="ID0EY2BG"/>
            <w:bookmarkEnd w:id="311"/>
            <w:r>
              <w:t>-</w:t>
            </w:r>
          </w:p>
        </w:tc>
        <w:tc>
          <w:tcPr>
            <w:tcW w:w="1263" w:type="dxa"/>
          </w:tcPr>
          <w:p w:rsidR="00C02512" w:rsidRDefault="001D4B06">
            <w:pPr>
              <w:pStyle w:val="Tabellenbody"/>
            </w:pPr>
            <w:bookmarkStart w:id="312" w:name="ID0ED3BG"/>
            <w:bookmarkEnd w:id="312"/>
            <w:r>
              <w:t>-</w:t>
            </w:r>
          </w:p>
        </w:tc>
        <w:tc>
          <w:tcPr>
            <w:tcW w:w="982" w:type="dxa"/>
          </w:tcPr>
          <w:p w:rsidR="00C02512" w:rsidRDefault="001D4B06">
            <w:pPr>
              <w:pStyle w:val="Tabellenbody"/>
            </w:pPr>
            <w:bookmarkStart w:id="313" w:name="ID0EO3BG"/>
            <w:bookmarkEnd w:id="313"/>
            <w:r>
              <w:t>-</w:t>
            </w:r>
          </w:p>
        </w:tc>
      </w:tr>
      <w:tr w:rsidR="00C02512">
        <w:tc>
          <w:tcPr>
            <w:tcW w:w="6009" w:type="dxa"/>
            <w:gridSpan w:val="3"/>
          </w:tcPr>
          <w:p w:rsidR="00C02512" w:rsidRDefault="001D4B06">
            <w:pPr>
              <w:pStyle w:val="Tabellenbody"/>
              <w:jc w:val="center"/>
            </w:pPr>
            <w:bookmarkStart w:id="314" w:name="ID0E53BG"/>
            <w:bookmarkEnd w:id="314"/>
            <w:r>
              <w:rPr>
                <w:b/>
              </w:rPr>
              <w:t>Risiko-Score</w:t>
            </w:r>
          </w:p>
        </w:tc>
        <w:tc>
          <w:tcPr>
            <w:tcW w:w="3629" w:type="dxa"/>
            <w:gridSpan w:val="3"/>
          </w:tcPr>
          <w:p w:rsidR="00C02512" w:rsidRDefault="001D4B06">
            <w:pPr>
              <w:pStyle w:val="Tabellenbody"/>
              <w:jc w:val="center"/>
            </w:pPr>
            <w:bookmarkStart w:id="315" w:name="ID0EN4BG"/>
            <w:bookmarkEnd w:id="315"/>
            <w:r>
              <w:rPr>
                <w:b/>
              </w:rPr>
              <w:t>Punkte</w:t>
            </w:r>
          </w:p>
        </w:tc>
      </w:tr>
      <w:tr w:rsidR="00C02512">
        <w:tc>
          <w:tcPr>
            <w:tcW w:w="6009" w:type="dxa"/>
            <w:gridSpan w:val="3"/>
          </w:tcPr>
          <w:p w:rsidR="00C02512" w:rsidRDefault="001D4B06">
            <w:pPr>
              <w:pStyle w:val="Tabellenbody"/>
            </w:pPr>
            <w:bookmarkStart w:id="316" w:name="ID0E54BG"/>
            <w:bookmarkEnd w:id="316"/>
            <w:r>
              <w:t>Low-risk</w:t>
            </w:r>
          </w:p>
        </w:tc>
        <w:tc>
          <w:tcPr>
            <w:tcW w:w="3629" w:type="dxa"/>
            <w:gridSpan w:val="3"/>
          </w:tcPr>
          <w:p w:rsidR="00C02512" w:rsidRDefault="001D4B06">
            <w:pPr>
              <w:pStyle w:val="Tabellenbody"/>
            </w:pPr>
            <w:bookmarkStart w:id="317" w:name="ID0EM5BG"/>
            <w:bookmarkEnd w:id="317"/>
            <w:r>
              <w:t>0</w:t>
            </w:r>
          </w:p>
        </w:tc>
      </w:tr>
      <w:tr w:rsidR="00C02512">
        <w:tc>
          <w:tcPr>
            <w:tcW w:w="6009" w:type="dxa"/>
            <w:gridSpan w:val="3"/>
          </w:tcPr>
          <w:p w:rsidR="00C02512" w:rsidRDefault="001D4B06">
            <w:pPr>
              <w:pStyle w:val="Tabellenbody"/>
            </w:pPr>
            <w:bookmarkStart w:id="318" w:name="ID0E35BG"/>
            <w:bookmarkEnd w:id="318"/>
            <w:r>
              <w:t>Intermediate-I risk</w:t>
            </w:r>
          </w:p>
        </w:tc>
        <w:tc>
          <w:tcPr>
            <w:tcW w:w="3629" w:type="dxa"/>
            <w:gridSpan w:val="3"/>
          </w:tcPr>
          <w:p w:rsidR="00C02512" w:rsidRDefault="001D4B06">
            <w:pPr>
              <w:pStyle w:val="Tabellenbody"/>
            </w:pPr>
            <w:bookmarkStart w:id="319" w:name="ID0EK6BG"/>
            <w:bookmarkEnd w:id="319"/>
            <w:r>
              <w:t xml:space="preserve">0,5-1 </w:t>
            </w:r>
          </w:p>
        </w:tc>
      </w:tr>
      <w:tr w:rsidR="00C02512">
        <w:tc>
          <w:tcPr>
            <w:tcW w:w="6009" w:type="dxa"/>
            <w:gridSpan w:val="3"/>
          </w:tcPr>
          <w:p w:rsidR="00C02512" w:rsidRDefault="001D4B06">
            <w:pPr>
              <w:pStyle w:val="Tabellenbody"/>
            </w:pPr>
            <w:bookmarkStart w:id="320" w:name="ID0E16BG"/>
            <w:bookmarkEnd w:id="320"/>
            <w:r>
              <w:t>Intermediate-II risk</w:t>
            </w:r>
          </w:p>
        </w:tc>
        <w:tc>
          <w:tcPr>
            <w:tcW w:w="3629" w:type="dxa"/>
            <w:gridSpan w:val="3"/>
          </w:tcPr>
          <w:p w:rsidR="00C02512" w:rsidRDefault="001D4B06">
            <w:pPr>
              <w:pStyle w:val="Tabellenbody"/>
            </w:pPr>
            <w:bookmarkStart w:id="321" w:name="ID0EJAAI"/>
            <w:bookmarkEnd w:id="321"/>
            <w:r>
              <w:t>1,5-2</w:t>
            </w:r>
          </w:p>
        </w:tc>
      </w:tr>
      <w:tr w:rsidR="00C02512">
        <w:tc>
          <w:tcPr>
            <w:tcW w:w="6009" w:type="dxa"/>
            <w:gridSpan w:val="3"/>
          </w:tcPr>
          <w:p w:rsidR="00C02512" w:rsidRDefault="001D4B06">
            <w:pPr>
              <w:pStyle w:val="Tabellenbody"/>
            </w:pPr>
            <w:bookmarkStart w:id="322" w:name="ID0EZAAI"/>
            <w:bookmarkEnd w:id="322"/>
            <w:r>
              <w:t>High-risk</w:t>
            </w:r>
          </w:p>
        </w:tc>
        <w:tc>
          <w:tcPr>
            <w:tcW w:w="3629" w:type="dxa"/>
            <w:gridSpan w:val="3"/>
          </w:tcPr>
          <w:p w:rsidR="00C02512" w:rsidRDefault="001D4B06">
            <w:pPr>
              <w:pStyle w:val="Tabellenbody"/>
            </w:pPr>
            <w:bookmarkStart w:id="323" w:name="ID0EHBAI"/>
            <w:bookmarkEnd w:id="323"/>
            <w:r>
              <w:t xml:space="preserve">≥2,5 </w:t>
            </w:r>
          </w:p>
        </w:tc>
      </w:tr>
    </w:tbl>
    <w:p w:rsidR="00C02512" w:rsidRDefault="001D4B06">
      <w:pPr>
        <w:pStyle w:val="Legende"/>
      </w:pPr>
      <w:r>
        <w:rPr>
          <w:b/>
        </w:rPr>
        <w:t xml:space="preserve">Legende: </w:t>
      </w:r>
      <w:r>
        <w:t>*</w:t>
      </w:r>
      <w:r>
        <w:tab/>
        <w:t>günstig: normal, -Y, del(5q), del(20q).  schlecht: komplex (≥ 3 Anomalien) oder Aberrationen auf Chromosom 7. intermediär: andere.</w:t>
      </w:r>
      <w:r>
        <w:br/>
        <w:t>**</w:t>
      </w:r>
      <w:r>
        <w:tab/>
        <w:t>Hämoglobin &lt;10 g/dl, Neutrophile &lt;1,8 /nl, Thrombozyten &lt;100 /nl.</w:t>
      </w:r>
    </w:p>
    <w:p w:rsidR="00C02512" w:rsidRDefault="001D4B06">
      <w:pPr>
        <w:pStyle w:val="Tabellenbeschriftung"/>
      </w:pPr>
      <w:bookmarkStart w:id="324" w:name="ID0EZBAI"/>
      <w:r>
        <w:t>Tabelle 7</w:t>
      </w:r>
      <w:bookmarkEnd w:id="324"/>
      <w:r>
        <w:t xml:space="preserve">: </w:t>
      </w:r>
      <w:r>
        <w:t>Definition des IPSS-R (International Prognostic Scoring System-Revised)</w:t>
      </w:r>
    </w:p>
    <w:tbl>
      <w:tblPr>
        <w:tblStyle w:val="TabelleKomplett"/>
        <w:tblW w:w="9640" w:type="dxa"/>
        <w:tblLayout w:type="fixed"/>
        <w:tblLook w:val="04A0" w:firstRow="1" w:lastRow="0" w:firstColumn="1" w:lastColumn="0" w:noHBand="0" w:noVBand="1"/>
      </w:tblPr>
      <w:tblGrid>
        <w:gridCol w:w="3214"/>
        <w:gridCol w:w="1048"/>
        <w:gridCol w:w="1372"/>
        <w:gridCol w:w="961"/>
        <w:gridCol w:w="802"/>
        <w:gridCol w:w="884"/>
        <w:gridCol w:w="818"/>
        <w:gridCol w:w="541"/>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9636" w:type="dxa"/>
            <w:gridSpan w:val="8"/>
          </w:tcPr>
          <w:p w:rsidR="00C02512" w:rsidRDefault="001D4B06">
            <w:pPr>
              <w:pStyle w:val="Tabellenkopf"/>
            </w:pPr>
            <w:bookmarkStart w:id="325" w:name="ID0EMDAI"/>
            <w:bookmarkEnd w:id="325"/>
            <w:r>
              <w:t>Score-Punkte</w:t>
            </w:r>
          </w:p>
        </w:tc>
      </w:tr>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3212" w:type="dxa"/>
          </w:tcPr>
          <w:p w:rsidR="00C02512" w:rsidRDefault="001D4B06">
            <w:pPr>
              <w:pStyle w:val="Tabellenkopf"/>
            </w:pPr>
            <w:bookmarkStart w:id="326" w:name="ID0E1DAI"/>
            <w:bookmarkEnd w:id="326"/>
            <w:r>
              <w:t> </w:t>
            </w:r>
          </w:p>
        </w:tc>
        <w:tc>
          <w:tcPr>
            <w:tcW w:w="1047" w:type="dxa"/>
          </w:tcPr>
          <w:p w:rsidR="00C02512" w:rsidRDefault="001D4B06">
            <w:pPr>
              <w:pStyle w:val="Tabellenkopf"/>
            </w:pPr>
            <w:bookmarkStart w:id="327" w:name="ID0EGEAI"/>
            <w:bookmarkEnd w:id="327"/>
            <w:r>
              <w:t>0</w:t>
            </w:r>
          </w:p>
        </w:tc>
        <w:tc>
          <w:tcPr>
            <w:tcW w:w="1371" w:type="dxa"/>
          </w:tcPr>
          <w:p w:rsidR="00C02512" w:rsidRDefault="001D4B06">
            <w:pPr>
              <w:pStyle w:val="Tabellenkopf"/>
            </w:pPr>
            <w:bookmarkStart w:id="328" w:name="ID0ESEAI"/>
            <w:bookmarkEnd w:id="328"/>
            <w:r>
              <w:t>0,5</w:t>
            </w:r>
          </w:p>
        </w:tc>
        <w:tc>
          <w:tcPr>
            <w:tcW w:w="961" w:type="dxa"/>
          </w:tcPr>
          <w:p w:rsidR="00C02512" w:rsidRDefault="001D4B06">
            <w:pPr>
              <w:pStyle w:val="Tabellenkopf"/>
            </w:pPr>
            <w:bookmarkStart w:id="329" w:name="ID0E5EAI"/>
            <w:bookmarkEnd w:id="329"/>
            <w:r>
              <w:t>1</w:t>
            </w:r>
          </w:p>
        </w:tc>
        <w:tc>
          <w:tcPr>
            <w:tcW w:w="802" w:type="dxa"/>
          </w:tcPr>
          <w:p w:rsidR="00C02512" w:rsidRDefault="001D4B06">
            <w:pPr>
              <w:pStyle w:val="Tabellenkopf"/>
            </w:pPr>
            <w:bookmarkStart w:id="330" w:name="ID0EKFAI"/>
            <w:bookmarkEnd w:id="330"/>
            <w:r>
              <w:t>1,5</w:t>
            </w:r>
          </w:p>
        </w:tc>
        <w:tc>
          <w:tcPr>
            <w:tcW w:w="884" w:type="dxa"/>
          </w:tcPr>
          <w:p w:rsidR="00C02512" w:rsidRDefault="001D4B06">
            <w:pPr>
              <w:pStyle w:val="Tabellenkopf"/>
            </w:pPr>
            <w:bookmarkStart w:id="331" w:name="ID0EWFAI"/>
            <w:bookmarkEnd w:id="331"/>
            <w:r>
              <w:t>2</w:t>
            </w:r>
          </w:p>
        </w:tc>
        <w:tc>
          <w:tcPr>
            <w:tcW w:w="818" w:type="dxa"/>
          </w:tcPr>
          <w:p w:rsidR="00C02512" w:rsidRDefault="001D4B06">
            <w:pPr>
              <w:pStyle w:val="Tabellenkopf"/>
            </w:pPr>
            <w:bookmarkStart w:id="332" w:name="ID0ECGAI"/>
            <w:bookmarkEnd w:id="332"/>
            <w:r>
              <w:t>3</w:t>
            </w:r>
          </w:p>
        </w:tc>
        <w:tc>
          <w:tcPr>
            <w:tcW w:w="541" w:type="dxa"/>
          </w:tcPr>
          <w:p w:rsidR="00C02512" w:rsidRDefault="001D4B06">
            <w:pPr>
              <w:pStyle w:val="Tabellenkopf"/>
            </w:pPr>
            <w:bookmarkStart w:id="333" w:name="ID0EOGAI"/>
            <w:bookmarkEnd w:id="333"/>
            <w:r>
              <w:t>4</w:t>
            </w:r>
          </w:p>
        </w:tc>
      </w:tr>
      <w:tr w:rsidR="00C02512">
        <w:tc>
          <w:tcPr>
            <w:tcW w:w="3212" w:type="dxa"/>
          </w:tcPr>
          <w:p w:rsidR="00C02512" w:rsidRDefault="001D4B06">
            <w:pPr>
              <w:pStyle w:val="Tabellenbody"/>
            </w:pPr>
            <w:bookmarkStart w:id="334" w:name="ID0E3GAI"/>
            <w:bookmarkEnd w:id="334"/>
            <w:r>
              <w:t>Karyotyp</w:t>
            </w:r>
          </w:p>
        </w:tc>
        <w:tc>
          <w:tcPr>
            <w:tcW w:w="1047" w:type="dxa"/>
          </w:tcPr>
          <w:p w:rsidR="00C02512" w:rsidRDefault="001D4B06">
            <w:pPr>
              <w:pStyle w:val="Tabellenbody"/>
            </w:pPr>
            <w:bookmarkStart w:id="335" w:name="ID0EHHAI"/>
            <w:bookmarkEnd w:id="335"/>
            <w:r>
              <w:t>A</w:t>
            </w:r>
          </w:p>
        </w:tc>
        <w:tc>
          <w:tcPr>
            <w:tcW w:w="1371" w:type="dxa"/>
          </w:tcPr>
          <w:p w:rsidR="00C02512" w:rsidRDefault="001D4B06">
            <w:pPr>
              <w:pStyle w:val="Tabellenbody"/>
            </w:pPr>
            <w:bookmarkStart w:id="336" w:name="ID0ESHAI"/>
            <w:bookmarkEnd w:id="336"/>
            <w:r>
              <w:t>-</w:t>
            </w:r>
          </w:p>
        </w:tc>
        <w:tc>
          <w:tcPr>
            <w:tcW w:w="961" w:type="dxa"/>
          </w:tcPr>
          <w:p w:rsidR="00C02512" w:rsidRDefault="001D4B06">
            <w:pPr>
              <w:pStyle w:val="Tabellenbody"/>
            </w:pPr>
            <w:bookmarkStart w:id="337" w:name="ID0E4HAI"/>
            <w:bookmarkEnd w:id="337"/>
            <w:r>
              <w:t>B</w:t>
            </w:r>
          </w:p>
        </w:tc>
        <w:tc>
          <w:tcPr>
            <w:tcW w:w="802" w:type="dxa"/>
          </w:tcPr>
          <w:p w:rsidR="00C02512" w:rsidRDefault="001D4B06">
            <w:pPr>
              <w:pStyle w:val="Tabellenbody"/>
            </w:pPr>
            <w:bookmarkStart w:id="338" w:name="ID0EIIAI"/>
            <w:bookmarkEnd w:id="338"/>
            <w:r>
              <w:t>-</w:t>
            </w:r>
          </w:p>
        </w:tc>
        <w:tc>
          <w:tcPr>
            <w:tcW w:w="884" w:type="dxa"/>
          </w:tcPr>
          <w:p w:rsidR="00C02512" w:rsidRDefault="001D4B06">
            <w:pPr>
              <w:pStyle w:val="Tabellenbody"/>
            </w:pPr>
            <w:bookmarkStart w:id="339" w:name="ID0ETIAI"/>
            <w:bookmarkEnd w:id="339"/>
            <w:r>
              <w:t>C</w:t>
            </w:r>
          </w:p>
        </w:tc>
        <w:tc>
          <w:tcPr>
            <w:tcW w:w="818" w:type="dxa"/>
          </w:tcPr>
          <w:p w:rsidR="00C02512" w:rsidRDefault="001D4B06">
            <w:pPr>
              <w:pStyle w:val="Tabellenbody"/>
            </w:pPr>
            <w:bookmarkStart w:id="340" w:name="ID0E5IAI"/>
            <w:bookmarkEnd w:id="340"/>
            <w:r>
              <w:t>D</w:t>
            </w:r>
          </w:p>
        </w:tc>
        <w:tc>
          <w:tcPr>
            <w:tcW w:w="541" w:type="dxa"/>
          </w:tcPr>
          <w:p w:rsidR="00C02512" w:rsidRDefault="001D4B06">
            <w:pPr>
              <w:pStyle w:val="Tabellenbody"/>
            </w:pPr>
            <w:bookmarkStart w:id="341" w:name="ID0EJJAI"/>
            <w:bookmarkEnd w:id="341"/>
            <w:r>
              <w:t>E</w:t>
            </w:r>
          </w:p>
        </w:tc>
      </w:tr>
      <w:tr w:rsidR="00C02512">
        <w:tc>
          <w:tcPr>
            <w:tcW w:w="3212" w:type="dxa"/>
          </w:tcPr>
          <w:p w:rsidR="00C02512" w:rsidRDefault="001D4B06">
            <w:pPr>
              <w:pStyle w:val="Tabellenbody"/>
            </w:pPr>
            <w:bookmarkStart w:id="342" w:name="ID0EWJAI"/>
            <w:bookmarkEnd w:id="342"/>
            <w:r>
              <w:t>Blasten ( %)</w:t>
            </w:r>
          </w:p>
        </w:tc>
        <w:tc>
          <w:tcPr>
            <w:tcW w:w="1047" w:type="dxa"/>
          </w:tcPr>
          <w:p w:rsidR="00C02512" w:rsidRDefault="001D4B06">
            <w:pPr>
              <w:pStyle w:val="Tabellenbody"/>
            </w:pPr>
            <w:bookmarkStart w:id="343" w:name="ID0EBKAI"/>
            <w:bookmarkEnd w:id="343"/>
            <w:r>
              <w:t>≤2</w:t>
            </w:r>
          </w:p>
        </w:tc>
        <w:tc>
          <w:tcPr>
            <w:tcW w:w="1371" w:type="dxa"/>
          </w:tcPr>
          <w:p w:rsidR="00C02512" w:rsidRDefault="001D4B06">
            <w:pPr>
              <w:pStyle w:val="Tabellenbody"/>
            </w:pPr>
            <w:bookmarkStart w:id="344" w:name="ID0EMKAI"/>
            <w:bookmarkEnd w:id="344"/>
            <w:r>
              <w:t>-</w:t>
            </w:r>
          </w:p>
        </w:tc>
        <w:tc>
          <w:tcPr>
            <w:tcW w:w="961" w:type="dxa"/>
          </w:tcPr>
          <w:p w:rsidR="00C02512" w:rsidRDefault="001D4B06">
            <w:pPr>
              <w:pStyle w:val="Tabellenbody"/>
            </w:pPr>
            <w:bookmarkStart w:id="345" w:name="ID0EXKAI"/>
            <w:bookmarkEnd w:id="345"/>
            <w:r>
              <w:t>&gt;2-&lt;5</w:t>
            </w:r>
          </w:p>
        </w:tc>
        <w:tc>
          <w:tcPr>
            <w:tcW w:w="802" w:type="dxa"/>
          </w:tcPr>
          <w:p w:rsidR="00C02512" w:rsidRDefault="001D4B06">
            <w:pPr>
              <w:pStyle w:val="Tabellenbody"/>
            </w:pPr>
            <w:bookmarkStart w:id="346" w:name="ID0ECLAI"/>
            <w:bookmarkEnd w:id="346"/>
            <w:r>
              <w:t>-</w:t>
            </w:r>
          </w:p>
        </w:tc>
        <w:tc>
          <w:tcPr>
            <w:tcW w:w="884" w:type="dxa"/>
          </w:tcPr>
          <w:p w:rsidR="00C02512" w:rsidRDefault="001D4B06">
            <w:pPr>
              <w:pStyle w:val="Tabellenbody"/>
            </w:pPr>
            <w:bookmarkStart w:id="347" w:name="ID0ENLAI"/>
            <w:bookmarkEnd w:id="347"/>
            <w:r>
              <w:t>5-10</w:t>
            </w:r>
          </w:p>
        </w:tc>
        <w:tc>
          <w:tcPr>
            <w:tcW w:w="818" w:type="dxa"/>
          </w:tcPr>
          <w:p w:rsidR="00C02512" w:rsidRDefault="001D4B06">
            <w:pPr>
              <w:pStyle w:val="Tabellenbody"/>
            </w:pPr>
            <w:bookmarkStart w:id="348" w:name="ID0EYLAI"/>
            <w:bookmarkEnd w:id="348"/>
            <w:r>
              <w:t>&gt;10</w:t>
            </w:r>
          </w:p>
        </w:tc>
        <w:tc>
          <w:tcPr>
            <w:tcW w:w="541" w:type="dxa"/>
          </w:tcPr>
          <w:p w:rsidR="00C02512" w:rsidRDefault="001D4B06">
            <w:pPr>
              <w:pStyle w:val="Tabellenbody"/>
            </w:pPr>
            <w:bookmarkStart w:id="349" w:name="ID0EDMAI"/>
            <w:bookmarkEnd w:id="349"/>
            <w:r>
              <w:t>-</w:t>
            </w:r>
          </w:p>
        </w:tc>
      </w:tr>
      <w:tr w:rsidR="00C02512">
        <w:tc>
          <w:tcPr>
            <w:tcW w:w="3212" w:type="dxa"/>
          </w:tcPr>
          <w:p w:rsidR="00C02512" w:rsidRDefault="001D4B06">
            <w:pPr>
              <w:pStyle w:val="Tabellenbody"/>
            </w:pPr>
            <w:bookmarkStart w:id="350" w:name="ID0EQMAI"/>
            <w:bookmarkEnd w:id="350"/>
            <w:r>
              <w:t>Hb-Wert (g/dl)</w:t>
            </w:r>
          </w:p>
        </w:tc>
        <w:tc>
          <w:tcPr>
            <w:tcW w:w="1047" w:type="dxa"/>
          </w:tcPr>
          <w:p w:rsidR="00C02512" w:rsidRDefault="001D4B06">
            <w:pPr>
              <w:pStyle w:val="Tabellenbody"/>
            </w:pPr>
            <w:bookmarkStart w:id="351" w:name="ID0E2MAI"/>
            <w:bookmarkEnd w:id="351"/>
            <w:r>
              <w:t>≥10</w:t>
            </w:r>
          </w:p>
        </w:tc>
        <w:tc>
          <w:tcPr>
            <w:tcW w:w="1371" w:type="dxa"/>
          </w:tcPr>
          <w:p w:rsidR="00C02512" w:rsidRDefault="001D4B06">
            <w:pPr>
              <w:pStyle w:val="Tabellenbody"/>
            </w:pPr>
            <w:bookmarkStart w:id="352" w:name="ID0EGNAI"/>
            <w:bookmarkEnd w:id="352"/>
            <w:r>
              <w:t>-</w:t>
            </w:r>
          </w:p>
        </w:tc>
        <w:tc>
          <w:tcPr>
            <w:tcW w:w="961" w:type="dxa"/>
          </w:tcPr>
          <w:p w:rsidR="00C02512" w:rsidRDefault="001D4B06">
            <w:pPr>
              <w:pStyle w:val="Tabellenbody"/>
            </w:pPr>
            <w:bookmarkStart w:id="353" w:name="ID0ERNAI"/>
            <w:bookmarkEnd w:id="353"/>
            <w:r>
              <w:t>8-&lt;10</w:t>
            </w:r>
          </w:p>
        </w:tc>
        <w:tc>
          <w:tcPr>
            <w:tcW w:w="802" w:type="dxa"/>
          </w:tcPr>
          <w:p w:rsidR="00C02512" w:rsidRDefault="001D4B06">
            <w:pPr>
              <w:pStyle w:val="Tabellenbody"/>
            </w:pPr>
            <w:bookmarkStart w:id="354" w:name="ID0E3NAI"/>
            <w:bookmarkEnd w:id="354"/>
            <w:r>
              <w:t>&lt;8</w:t>
            </w:r>
          </w:p>
        </w:tc>
        <w:tc>
          <w:tcPr>
            <w:tcW w:w="884" w:type="dxa"/>
          </w:tcPr>
          <w:p w:rsidR="00C02512" w:rsidRDefault="001D4B06">
            <w:pPr>
              <w:pStyle w:val="Tabellenbody"/>
            </w:pPr>
            <w:bookmarkStart w:id="355" w:name="ID0EHOAI"/>
            <w:bookmarkEnd w:id="355"/>
            <w:r>
              <w:t>-</w:t>
            </w:r>
          </w:p>
        </w:tc>
        <w:tc>
          <w:tcPr>
            <w:tcW w:w="818" w:type="dxa"/>
          </w:tcPr>
          <w:p w:rsidR="00C02512" w:rsidRDefault="001D4B06">
            <w:pPr>
              <w:pStyle w:val="Tabellenbody"/>
            </w:pPr>
            <w:bookmarkStart w:id="356" w:name="ID0ESOAI"/>
            <w:bookmarkEnd w:id="356"/>
            <w:r>
              <w:t>-</w:t>
            </w:r>
          </w:p>
        </w:tc>
        <w:tc>
          <w:tcPr>
            <w:tcW w:w="541" w:type="dxa"/>
          </w:tcPr>
          <w:p w:rsidR="00C02512" w:rsidRDefault="001D4B06">
            <w:pPr>
              <w:pStyle w:val="Tabellenbody"/>
            </w:pPr>
            <w:bookmarkStart w:id="357" w:name="ID0E4OAI"/>
            <w:bookmarkEnd w:id="357"/>
            <w:r>
              <w:t>-</w:t>
            </w:r>
          </w:p>
        </w:tc>
      </w:tr>
      <w:tr w:rsidR="00C02512">
        <w:tc>
          <w:tcPr>
            <w:tcW w:w="3212" w:type="dxa"/>
          </w:tcPr>
          <w:p w:rsidR="00C02512" w:rsidRDefault="001D4B06">
            <w:pPr>
              <w:pStyle w:val="Tabellenbody"/>
            </w:pPr>
            <w:bookmarkStart w:id="358" w:name="ID0EKPAI"/>
            <w:bookmarkEnd w:id="358"/>
            <w:r>
              <w:t>Thrombos (/nl)</w:t>
            </w:r>
          </w:p>
        </w:tc>
        <w:tc>
          <w:tcPr>
            <w:tcW w:w="1047" w:type="dxa"/>
          </w:tcPr>
          <w:p w:rsidR="00C02512" w:rsidRDefault="001D4B06">
            <w:pPr>
              <w:pStyle w:val="Tabellenbody"/>
            </w:pPr>
            <w:bookmarkStart w:id="359" w:name="ID0EVPAI"/>
            <w:bookmarkEnd w:id="359"/>
            <w:r>
              <w:t>≥100</w:t>
            </w:r>
          </w:p>
        </w:tc>
        <w:tc>
          <w:tcPr>
            <w:tcW w:w="1371" w:type="dxa"/>
          </w:tcPr>
          <w:p w:rsidR="00C02512" w:rsidRDefault="001D4B06">
            <w:pPr>
              <w:pStyle w:val="Tabellenbody"/>
            </w:pPr>
            <w:bookmarkStart w:id="360" w:name="ID0EAQAI"/>
            <w:bookmarkEnd w:id="360"/>
            <w:r>
              <w:t>50-&lt;100</w:t>
            </w:r>
          </w:p>
        </w:tc>
        <w:tc>
          <w:tcPr>
            <w:tcW w:w="961" w:type="dxa"/>
          </w:tcPr>
          <w:p w:rsidR="00C02512" w:rsidRDefault="001D4B06">
            <w:pPr>
              <w:pStyle w:val="Tabellenbody"/>
            </w:pPr>
            <w:bookmarkStart w:id="361" w:name="ID0ELQAI"/>
            <w:bookmarkEnd w:id="361"/>
            <w:r>
              <w:t>&lt;50</w:t>
            </w:r>
          </w:p>
        </w:tc>
        <w:tc>
          <w:tcPr>
            <w:tcW w:w="802" w:type="dxa"/>
          </w:tcPr>
          <w:p w:rsidR="00C02512" w:rsidRDefault="001D4B06">
            <w:pPr>
              <w:pStyle w:val="Tabellenbody"/>
            </w:pPr>
            <w:bookmarkStart w:id="362" w:name="ID0EWQAI"/>
            <w:bookmarkEnd w:id="362"/>
            <w:r>
              <w:t>-</w:t>
            </w:r>
          </w:p>
        </w:tc>
        <w:tc>
          <w:tcPr>
            <w:tcW w:w="884" w:type="dxa"/>
          </w:tcPr>
          <w:p w:rsidR="00C02512" w:rsidRDefault="001D4B06">
            <w:pPr>
              <w:pStyle w:val="Tabellenbody"/>
            </w:pPr>
            <w:bookmarkStart w:id="363" w:name="ID0EBRAI"/>
            <w:bookmarkEnd w:id="363"/>
            <w:r>
              <w:t>-</w:t>
            </w:r>
          </w:p>
        </w:tc>
        <w:tc>
          <w:tcPr>
            <w:tcW w:w="818" w:type="dxa"/>
          </w:tcPr>
          <w:p w:rsidR="00C02512" w:rsidRDefault="001D4B06">
            <w:pPr>
              <w:pStyle w:val="Tabellenbody"/>
            </w:pPr>
            <w:bookmarkStart w:id="364" w:name="ID0EMRAI"/>
            <w:bookmarkEnd w:id="364"/>
            <w:r>
              <w:t>-</w:t>
            </w:r>
          </w:p>
        </w:tc>
        <w:tc>
          <w:tcPr>
            <w:tcW w:w="541" w:type="dxa"/>
          </w:tcPr>
          <w:p w:rsidR="00C02512" w:rsidRDefault="001D4B06">
            <w:pPr>
              <w:pStyle w:val="Tabellenbody"/>
            </w:pPr>
            <w:bookmarkStart w:id="365" w:name="ID0EXRAI"/>
            <w:bookmarkEnd w:id="365"/>
            <w:r>
              <w:t>-</w:t>
            </w:r>
          </w:p>
        </w:tc>
      </w:tr>
      <w:tr w:rsidR="00C02512">
        <w:tc>
          <w:tcPr>
            <w:tcW w:w="3212" w:type="dxa"/>
          </w:tcPr>
          <w:p w:rsidR="00C02512" w:rsidRDefault="001D4B06">
            <w:pPr>
              <w:pStyle w:val="Tabellenbody"/>
            </w:pPr>
            <w:bookmarkStart w:id="366" w:name="ID0EESAI"/>
            <w:bookmarkEnd w:id="366"/>
            <w:r>
              <w:t>Neutrophile (/nl)</w:t>
            </w:r>
          </w:p>
        </w:tc>
        <w:tc>
          <w:tcPr>
            <w:tcW w:w="1047" w:type="dxa"/>
          </w:tcPr>
          <w:p w:rsidR="00C02512" w:rsidRDefault="001D4B06">
            <w:pPr>
              <w:pStyle w:val="Tabellenbody"/>
            </w:pPr>
            <w:bookmarkStart w:id="367" w:name="ID0EPSAI"/>
            <w:bookmarkEnd w:id="367"/>
            <w:r>
              <w:t>≥800</w:t>
            </w:r>
          </w:p>
        </w:tc>
        <w:tc>
          <w:tcPr>
            <w:tcW w:w="1371" w:type="dxa"/>
          </w:tcPr>
          <w:p w:rsidR="00C02512" w:rsidRDefault="001D4B06">
            <w:pPr>
              <w:pStyle w:val="Tabellenbody"/>
            </w:pPr>
            <w:bookmarkStart w:id="368" w:name="ID0E1SAI"/>
            <w:bookmarkEnd w:id="368"/>
            <w:r>
              <w:t>&lt;800</w:t>
            </w:r>
          </w:p>
        </w:tc>
        <w:tc>
          <w:tcPr>
            <w:tcW w:w="961" w:type="dxa"/>
          </w:tcPr>
          <w:p w:rsidR="00C02512" w:rsidRDefault="001D4B06">
            <w:pPr>
              <w:pStyle w:val="Tabellenbody"/>
            </w:pPr>
            <w:bookmarkStart w:id="369" w:name="ID0EFTAI"/>
            <w:bookmarkEnd w:id="369"/>
            <w:r>
              <w:t>-</w:t>
            </w:r>
          </w:p>
        </w:tc>
        <w:tc>
          <w:tcPr>
            <w:tcW w:w="802" w:type="dxa"/>
          </w:tcPr>
          <w:p w:rsidR="00C02512" w:rsidRDefault="001D4B06">
            <w:pPr>
              <w:pStyle w:val="Tabellenbody"/>
            </w:pPr>
            <w:bookmarkStart w:id="370" w:name="ID0EQTAI"/>
            <w:bookmarkEnd w:id="370"/>
            <w:r>
              <w:t>-</w:t>
            </w:r>
          </w:p>
        </w:tc>
        <w:tc>
          <w:tcPr>
            <w:tcW w:w="884" w:type="dxa"/>
          </w:tcPr>
          <w:p w:rsidR="00C02512" w:rsidRDefault="001D4B06">
            <w:pPr>
              <w:pStyle w:val="Tabellenbody"/>
            </w:pPr>
            <w:bookmarkStart w:id="371" w:name="ID0E2TAI"/>
            <w:bookmarkEnd w:id="371"/>
            <w:r>
              <w:t>-</w:t>
            </w:r>
          </w:p>
        </w:tc>
        <w:tc>
          <w:tcPr>
            <w:tcW w:w="818" w:type="dxa"/>
          </w:tcPr>
          <w:p w:rsidR="00C02512" w:rsidRDefault="001D4B06">
            <w:pPr>
              <w:pStyle w:val="Tabellenbody"/>
            </w:pPr>
            <w:bookmarkStart w:id="372" w:name="ID0EGUAI"/>
            <w:bookmarkEnd w:id="372"/>
            <w:r>
              <w:t>-</w:t>
            </w:r>
          </w:p>
        </w:tc>
        <w:tc>
          <w:tcPr>
            <w:tcW w:w="541" w:type="dxa"/>
          </w:tcPr>
          <w:p w:rsidR="00C02512" w:rsidRDefault="001D4B06">
            <w:pPr>
              <w:pStyle w:val="Tabellenbody"/>
            </w:pPr>
            <w:bookmarkStart w:id="373" w:name="ID0ERUAI"/>
            <w:bookmarkEnd w:id="373"/>
            <w:r>
              <w:t>-</w:t>
            </w:r>
          </w:p>
        </w:tc>
      </w:tr>
      <w:tr w:rsidR="00C02512">
        <w:tc>
          <w:tcPr>
            <w:tcW w:w="5630" w:type="dxa"/>
            <w:gridSpan w:val="3"/>
          </w:tcPr>
          <w:p w:rsidR="00C02512" w:rsidRDefault="001D4B06">
            <w:pPr>
              <w:pStyle w:val="Tabellenbody"/>
              <w:jc w:val="center"/>
            </w:pPr>
            <w:bookmarkStart w:id="374" w:name="ID0EBVAI"/>
            <w:bookmarkEnd w:id="374"/>
            <w:r>
              <w:rPr>
                <w:b/>
              </w:rPr>
              <w:t>Risiko-Score</w:t>
            </w:r>
          </w:p>
        </w:tc>
        <w:tc>
          <w:tcPr>
            <w:tcW w:w="4006" w:type="dxa"/>
            <w:gridSpan w:val="5"/>
          </w:tcPr>
          <w:p w:rsidR="00C02512" w:rsidRDefault="001D4B06">
            <w:pPr>
              <w:pStyle w:val="Tabellenbody"/>
              <w:jc w:val="center"/>
            </w:pPr>
            <w:bookmarkStart w:id="375" w:name="ID0EQVAI"/>
            <w:bookmarkEnd w:id="375"/>
            <w:r>
              <w:rPr>
                <w:b/>
              </w:rPr>
              <w:t>Punkte</w:t>
            </w:r>
          </w:p>
        </w:tc>
      </w:tr>
      <w:tr w:rsidR="00C02512">
        <w:tc>
          <w:tcPr>
            <w:tcW w:w="5630" w:type="dxa"/>
            <w:gridSpan w:val="3"/>
          </w:tcPr>
          <w:p w:rsidR="00C02512" w:rsidRDefault="001D4B06">
            <w:pPr>
              <w:pStyle w:val="Tabellenbody"/>
            </w:pPr>
            <w:bookmarkStart w:id="376" w:name="ID0EBWAI"/>
            <w:bookmarkEnd w:id="376"/>
            <w:r>
              <w:t xml:space="preserve">Very Low risk: </w:t>
            </w:r>
          </w:p>
        </w:tc>
        <w:tc>
          <w:tcPr>
            <w:tcW w:w="4006" w:type="dxa"/>
            <w:gridSpan w:val="5"/>
          </w:tcPr>
          <w:p w:rsidR="00C02512" w:rsidRDefault="001D4B06">
            <w:pPr>
              <w:pStyle w:val="Tabellenbody"/>
            </w:pPr>
            <w:bookmarkStart w:id="377" w:name="ID0EPWAI"/>
            <w:bookmarkEnd w:id="377"/>
            <w:r>
              <w:t>≤1,5</w:t>
            </w:r>
          </w:p>
        </w:tc>
      </w:tr>
      <w:tr w:rsidR="00C02512">
        <w:tc>
          <w:tcPr>
            <w:tcW w:w="5630" w:type="dxa"/>
            <w:gridSpan w:val="3"/>
          </w:tcPr>
          <w:p w:rsidR="00C02512" w:rsidRDefault="001D4B06">
            <w:pPr>
              <w:pStyle w:val="Tabellenbody"/>
            </w:pPr>
            <w:bookmarkStart w:id="378" w:name="ID0E6WAI"/>
            <w:bookmarkEnd w:id="378"/>
            <w:r>
              <w:t xml:space="preserve">Low risk: </w:t>
            </w:r>
          </w:p>
        </w:tc>
        <w:tc>
          <w:tcPr>
            <w:tcW w:w="4006" w:type="dxa"/>
            <w:gridSpan w:val="5"/>
          </w:tcPr>
          <w:p w:rsidR="00C02512" w:rsidRDefault="001D4B06">
            <w:pPr>
              <w:pStyle w:val="Tabellenbody"/>
            </w:pPr>
            <w:bookmarkStart w:id="379" w:name="ID0ENXAI"/>
            <w:bookmarkEnd w:id="379"/>
            <w:r>
              <w:t>2-3</w:t>
            </w:r>
          </w:p>
        </w:tc>
      </w:tr>
      <w:tr w:rsidR="00C02512">
        <w:tc>
          <w:tcPr>
            <w:tcW w:w="5630" w:type="dxa"/>
            <w:gridSpan w:val="3"/>
          </w:tcPr>
          <w:p w:rsidR="00C02512" w:rsidRDefault="001D4B06">
            <w:pPr>
              <w:pStyle w:val="Tabellenbody"/>
            </w:pPr>
            <w:bookmarkStart w:id="380" w:name="ID0E4XAI"/>
            <w:bookmarkEnd w:id="380"/>
            <w:r>
              <w:t>Intermediate risk</w:t>
            </w:r>
          </w:p>
        </w:tc>
        <w:tc>
          <w:tcPr>
            <w:tcW w:w="4006" w:type="dxa"/>
            <w:gridSpan w:val="5"/>
          </w:tcPr>
          <w:p w:rsidR="00C02512" w:rsidRDefault="001D4B06">
            <w:pPr>
              <w:pStyle w:val="Tabellenbody"/>
            </w:pPr>
            <w:bookmarkStart w:id="381" w:name="ID0ELYAI"/>
            <w:bookmarkEnd w:id="381"/>
            <w:r>
              <w:t>3,5-4,5</w:t>
            </w:r>
          </w:p>
        </w:tc>
      </w:tr>
      <w:tr w:rsidR="00C02512">
        <w:tc>
          <w:tcPr>
            <w:tcW w:w="5630" w:type="dxa"/>
            <w:gridSpan w:val="3"/>
          </w:tcPr>
          <w:p w:rsidR="00C02512" w:rsidRDefault="001D4B06">
            <w:pPr>
              <w:pStyle w:val="Tabellenbody"/>
            </w:pPr>
            <w:bookmarkStart w:id="382" w:name="ID0E2YAI"/>
            <w:bookmarkEnd w:id="382"/>
            <w:r>
              <w:t>High risk</w:t>
            </w:r>
          </w:p>
        </w:tc>
        <w:tc>
          <w:tcPr>
            <w:tcW w:w="4006" w:type="dxa"/>
            <w:gridSpan w:val="5"/>
          </w:tcPr>
          <w:p w:rsidR="00C02512" w:rsidRDefault="001D4B06">
            <w:pPr>
              <w:pStyle w:val="Tabellenbody"/>
            </w:pPr>
            <w:bookmarkStart w:id="383" w:name="ID0EJZAI"/>
            <w:bookmarkEnd w:id="383"/>
            <w:r>
              <w:t>5-6</w:t>
            </w:r>
          </w:p>
        </w:tc>
      </w:tr>
      <w:tr w:rsidR="00C02512">
        <w:tc>
          <w:tcPr>
            <w:tcW w:w="5630" w:type="dxa"/>
            <w:gridSpan w:val="3"/>
          </w:tcPr>
          <w:p w:rsidR="00C02512" w:rsidRDefault="001D4B06">
            <w:pPr>
              <w:pStyle w:val="Tabellenbody"/>
            </w:pPr>
            <w:bookmarkStart w:id="384" w:name="ID0EZZAI"/>
            <w:bookmarkEnd w:id="384"/>
            <w:r>
              <w:t>Very High-risk</w:t>
            </w:r>
          </w:p>
        </w:tc>
        <w:tc>
          <w:tcPr>
            <w:tcW w:w="4006" w:type="dxa"/>
            <w:gridSpan w:val="5"/>
          </w:tcPr>
          <w:p w:rsidR="00C02512" w:rsidRDefault="001D4B06">
            <w:pPr>
              <w:pStyle w:val="Tabellenbody"/>
            </w:pPr>
            <w:bookmarkStart w:id="385" w:name="ID0EH1AI"/>
            <w:bookmarkEnd w:id="385"/>
            <w:r>
              <w:t>&gt;6</w:t>
            </w:r>
          </w:p>
        </w:tc>
      </w:tr>
    </w:tbl>
    <w:p w:rsidR="00C02512" w:rsidRDefault="001D4B06">
      <w:pPr>
        <w:pStyle w:val="Legende"/>
      </w:pPr>
      <w:r>
        <w:rPr>
          <w:b/>
        </w:rPr>
        <w:t xml:space="preserve">Legende: </w:t>
      </w:r>
      <w:r>
        <w:t>A: Sehr gut (-Y, del(11q))</w:t>
      </w:r>
      <w:r>
        <w:br/>
      </w:r>
      <w:r>
        <w:t>B: Gut (Normal, del(5q), del(12p), del(20q), Doppel-Klon mit del(5q) außer chr7)</w:t>
      </w:r>
      <w:r>
        <w:br/>
        <w:t>C: Intermediär (del(7q), +8, +19, i(17q), andere Einzel- oder Doppel-Klone)</w:t>
      </w:r>
      <w:r>
        <w:br/>
        <w:t>D: Schlecht (-7, inv(3)/t(3q)/del(3q), Doppel-Klon mit -7/del(7q), komplex (3 Aberrationen))</w:t>
      </w:r>
      <w:r>
        <w:br/>
        <w:t>E: Seh</w:t>
      </w:r>
      <w:r>
        <w:t>r schlecht (komplex &gt;3 Aberrationen)</w:t>
      </w:r>
    </w:p>
    <w:p w:rsidR="00C02512" w:rsidRDefault="001D4B06">
      <w:pPr>
        <w:pStyle w:val="berschrift2"/>
      </w:pPr>
      <w:bookmarkStart w:id="386" w:name="ID0E11AI"/>
      <w:bookmarkEnd w:id="386"/>
      <w:r>
        <w:lastRenderedPageBreak/>
        <w:t>Differenzialdiagnose</w:t>
      </w:r>
    </w:p>
    <w:p w:rsidR="00C02512" w:rsidRDefault="001D4B06">
      <w:pPr>
        <w:pStyle w:val="Tabellenbeschriftung"/>
      </w:pPr>
      <w:bookmarkStart w:id="387" w:name="ID0EB2AI"/>
      <w:r>
        <w:t>Tabelle 8</w:t>
      </w:r>
      <w:bookmarkEnd w:id="387"/>
      <w:r>
        <w:t xml:space="preserve">: </w:t>
      </w:r>
      <w:r>
        <w:t>Differenzialdiagnosen der MDS</w:t>
      </w:r>
    </w:p>
    <w:tbl>
      <w:tblPr>
        <w:tblStyle w:val="TabelleKomplett"/>
        <w:tblW w:w="9640" w:type="dxa"/>
        <w:tblLayout w:type="fixed"/>
        <w:tblLook w:val="04A0" w:firstRow="1" w:lastRow="0" w:firstColumn="1" w:lastColumn="0" w:noHBand="0" w:noVBand="1"/>
      </w:tblPr>
      <w:tblGrid>
        <w:gridCol w:w="5826"/>
        <w:gridCol w:w="3814"/>
      </w:tblGrid>
      <w:tr w:rsidR="00C02512" w:rsidTr="00C02512">
        <w:trPr>
          <w:cnfStyle w:val="100000000000" w:firstRow="1" w:lastRow="0" w:firstColumn="0" w:lastColumn="0" w:oddVBand="0" w:evenVBand="0" w:oddHBand="0" w:evenHBand="0" w:firstRowFirstColumn="0" w:firstRowLastColumn="0" w:lastRowFirstColumn="0" w:lastRowLastColumn="0"/>
          <w:tblHeader/>
        </w:trPr>
        <w:tc>
          <w:tcPr>
            <w:tcW w:w="5825" w:type="dxa"/>
          </w:tcPr>
          <w:p w:rsidR="00C02512" w:rsidRDefault="001D4B06">
            <w:pPr>
              <w:pStyle w:val="Tabellenkopf"/>
            </w:pPr>
            <w:bookmarkStart w:id="388" w:name="ID0E12AI"/>
            <w:bookmarkEnd w:id="388"/>
            <w:r>
              <w:t>Differentialdiagnose</w:t>
            </w:r>
          </w:p>
        </w:tc>
        <w:tc>
          <w:tcPr>
            <w:tcW w:w="3814" w:type="dxa"/>
          </w:tcPr>
          <w:p w:rsidR="00C02512" w:rsidRDefault="001D4B06">
            <w:pPr>
              <w:pStyle w:val="Tabellenkopf"/>
            </w:pPr>
            <w:bookmarkStart w:id="389" w:name="ID0EI3AI"/>
            <w:bookmarkEnd w:id="389"/>
            <w:r>
              <w:t>Diagnostisches Verfahren</w:t>
            </w:r>
          </w:p>
        </w:tc>
      </w:tr>
      <w:tr w:rsidR="00C02512">
        <w:tc>
          <w:tcPr>
            <w:tcW w:w="5825" w:type="dxa"/>
          </w:tcPr>
          <w:p w:rsidR="00C02512" w:rsidRDefault="001D4B06">
            <w:pPr>
              <w:pStyle w:val="Tabellenbody"/>
            </w:pPr>
            <w:bookmarkStart w:id="390" w:name="ID0EW3AI"/>
            <w:bookmarkEnd w:id="390"/>
            <w:r>
              <w:t>Aplastische Anämie, Pure-Red-Cell-Aplasia (PRCA)</w:t>
            </w:r>
          </w:p>
        </w:tc>
        <w:tc>
          <w:tcPr>
            <w:tcW w:w="3814" w:type="dxa"/>
          </w:tcPr>
          <w:p w:rsidR="00C02512" w:rsidRDefault="001D4B06">
            <w:pPr>
              <w:pStyle w:val="Tabellenbody"/>
            </w:pPr>
            <w:bookmarkStart w:id="391" w:name="ID0EC4AI"/>
            <w:bookmarkEnd w:id="391"/>
            <w:r>
              <w:t>Histologie, Zytologie</w:t>
            </w:r>
          </w:p>
        </w:tc>
      </w:tr>
      <w:tr w:rsidR="00C02512">
        <w:tc>
          <w:tcPr>
            <w:tcW w:w="5825" w:type="dxa"/>
          </w:tcPr>
          <w:p w:rsidR="00C02512" w:rsidRDefault="001D4B06">
            <w:pPr>
              <w:pStyle w:val="Tabellenbody"/>
            </w:pPr>
            <w:bookmarkStart w:id="392" w:name="ID0EO4AI"/>
            <w:bookmarkEnd w:id="392"/>
            <w:r>
              <w:t xml:space="preserve">Toxischer KM-Schaden (Alkohol, Blei, NSAR, etc.) </w:t>
            </w:r>
          </w:p>
        </w:tc>
        <w:tc>
          <w:tcPr>
            <w:tcW w:w="3814" w:type="dxa"/>
          </w:tcPr>
          <w:p w:rsidR="00C02512" w:rsidRDefault="001D4B06">
            <w:pPr>
              <w:pStyle w:val="Tabellenbody"/>
            </w:pPr>
            <w:bookmarkStart w:id="393" w:name="ID0EZ4AI"/>
            <w:bookmarkEnd w:id="393"/>
            <w:r>
              <w:t>Anamnese</w:t>
            </w:r>
          </w:p>
        </w:tc>
      </w:tr>
      <w:tr w:rsidR="00C02512">
        <w:tc>
          <w:tcPr>
            <w:tcW w:w="5825" w:type="dxa"/>
          </w:tcPr>
          <w:p w:rsidR="00C02512" w:rsidRDefault="001D4B06">
            <w:pPr>
              <w:pStyle w:val="Tabellenbody"/>
            </w:pPr>
            <w:bookmarkStart w:id="394" w:name="ID0EF5AI"/>
            <w:bookmarkEnd w:id="394"/>
            <w:r>
              <w:t>Reaktive KM-Veränderungen (Sepsis, HIV, chronische Infekte, Tbc, Autoimmunerkrankungen, etc.)</w:t>
            </w:r>
          </w:p>
        </w:tc>
        <w:tc>
          <w:tcPr>
            <w:tcW w:w="3814" w:type="dxa"/>
          </w:tcPr>
          <w:p w:rsidR="00C02512" w:rsidRDefault="001D4B06">
            <w:pPr>
              <w:pStyle w:val="Tabellenbody"/>
            </w:pPr>
            <w:bookmarkStart w:id="395" w:name="ID0EQ5AI"/>
            <w:bookmarkEnd w:id="395"/>
            <w:r>
              <w:t>Zytologie, Anamnese, Labor</w:t>
            </w:r>
          </w:p>
        </w:tc>
      </w:tr>
      <w:tr w:rsidR="00C02512">
        <w:tc>
          <w:tcPr>
            <w:tcW w:w="5825" w:type="dxa"/>
          </w:tcPr>
          <w:p w:rsidR="00C02512" w:rsidRDefault="001D4B06">
            <w:pPr>
              <w:pStyle w:val="Tabellenbody"/>
            </w:pPr>
            <w:bookmarkStart w:id="396" w:name="ID0E35AI"/>
            <w:bookmarkEnd w:id="396"/>
            <w:r>
              <w:t>Monozytose anderer Genese</w:t>
            </w:r>
          </w:p>
        </w:tc>
        <w:tc>
          <w:tcPr>
            <w:tcW w:w="3814" w:type="dxa"/>
          </w:tcPr>
          <w:p w:rsidR="00C02512" w:rsidRDefault="001D4B06">
            <w:pPr>
              <w:pStyle w:val="Tabellenbody"/>
            </w:pPr>
            <w:bookmarkStart w:id="397" w:name="ID0EH6AI"/>
            <w:bookmarkEnd w:id="397"/>
            <w:r>
              <w:t>Anamnese, Labor</w:t>
            </w:r>
          </w:p>
        </w:tc>
      </w:tr>
      <w:tr w:rsidR="00C02512">
        <w:tc>
          <w:tcPr>
            <w:tcW w:w="5825" w:type="dxa"/>
          </w:tcPr>
          <w:p w:rsidR="00C02512" w:rsidRDefault="001D4B06">
            <w:pPr>
              <w:pStyle w:val="Tabellenbody"/>
            </w:pPr>
            <w:bookmarkStart w:id="398" w:name="ID0ET6AI"/>
            <w:bookmarkEnd w:id="398"/>
            <w:r>
              <w:t>Paroxysmale nächtliche Hämoglob</w:t>
            </w:r>
            <w:r>
              <w:t>inurie (PNH)</w:t>
            </w:r>
          </w:p>
        </w:tc>
        <w:tc>
          <w:tcPr>
            <w:tcW w:w="3814" w:type="dxa"/>
          </w:tcPr>
          <w:p w:rsidR="00C02512" w:rsidRDefault="001D4B06">
            <w:pPr>
              <w:pStyle w:val="Tabellenbody"/>
            </w:pPr>
            <w:bookmarkStart w:id="399" w:name="ID0E56AI"/>
            <w:bookmarkEnd w:id="399"/>
            <w:r>
              <w:t>Immunphänotypisierung</w:t>
            </w:r>
          </w:p>
        </w:tc>
      </w:tr>
      <w:tr w:rsidR="00C02512">
        <w:tc>
          <w:tcPr>
            <w:tcW w:w="5825" w:type="dxa"/>
          </w:tcPr>
          <w:p w:rsidR="00C02512" w:rsidRDefault="001D4B06">
            <w:pPr>
              <w:pStyle w:val="Tabellenbody"/>
            </w:pPr>
            <w:bookmarkStart w:id="400" w:name="ID0EKABI"/>
            <w:bookmarkEnd w:id="400"/>
            <w:r>
              <w:t>Immunthrombozytopenie</w:t>
            </w:r>
          </w:p>
        </w:tc>
        <w:tc>
          <w:tcPr>
            <w:tcW w:w="3814" w:type="dxa"/>
          </w:tcPr>
          <w:p w:rsidR="00C02512" w:rsidRDefault="001D4B06">
            <w:pPr>
              <w:pStyle w:val="Tabellenbody"/>
            </w:pPr>
            <w:bookmarkStart w:id="401" w:name="ID0EVABI"/>
            <w:bookmarkEnd w:id="401"/>
            <w:r>
              <w:t>Zytologie, Anamnese, Verlauf</w:t>
            </w:r>
          </w:p>
        </w:tc>
      </w:tr>
      <w:tr w:rsidR="00C02512">
        <w:tc>
          <w:tcPr>
            <w:tcW w:w="5825" w:type="dxa"/>
          </w:tcPr>
          <w:p w:rsidR="00C02512" w:rsidRDefault="001D4B06">
            <w:pPr>
              <w:pStyle w:val="Tabellenbody"/>
            </w:pPr>
            <w:bookmarkStart w:id="402" w:name="ID0EBBBI"/>
            <w:bookmarkEnd w:id="402"/>
            <w:r>
              <w:t>Megaloblastäre Anämien</w:t>
            </w:r>
          </w:p>
        </w:tc>
        <w:tc>
          <w:tcPr>
            <w:tcW w:w="3814" w:type="dxa"/>
          </w:tcPr>
          <w:p w:rsidR="00C02512" w:rsidRDefault="001D4B06">
            <w:pPr>
              <w:pStyle w:val="Tabellenbody"/>
            </w:pPr>
            <w:bookmarkStart w:id="403" w:name="ID0EMBBI"/>
            <w:bookmarkEnd w:id="403"/>
            <w:r>
              <w:t>Vitamin B</w:t>
            </w:r>
            <w:r>
              <w:rPr>
                <w:vertAlign w:val="subscript"/>
              </w:rPr>
              <w:t>12</w:t>
            </w:r>
            <w:r>
              <w:t>-/Folsäurespiegel</w:t>
            </w:r>
          </w:p>
        </w:tc>
      </w:tr>
      <w:tr w:rsidR="00C02512">
        <w:tc>
          <w:tcPr>
            <w:tcW w:w="5825" w:type="dxa"/>
          </w:tcPr>
          <w:p w:rsidR="00C02512" w:rsidRDefault="001D4B06">
            <w:pPr>
              <w:pStyle w:val="Tabellenbody"/>
            </w:pPr>
            <w:bookmarkStart w:id="404" w:name="ID0E1BBI"/>
            <w:bookmarkEnd w:id="404"/>
            <w:r>
              <w:t>Hyperspleniesyndrom</w:t>
            </w:r>
          </w:p>
        </w:tc>
        <w:tc>
          <w:tcPr>
            <w:tcW w:w="3814" w:type="dxa"/>
          </w:tcPr>
          <w:p w:rsidR="00C02512" w:rsidRDefault="001D4B06">
            <w:pPr>
              <w:pStyle w:val="Tabellenbody"/>
            </w:pPr>
            <w:bookmarkStart w:id="405" w:name="ID0EFCBI"/>
            <w:bookmarkEnd w:id="405"/>
            <w:r>
              <w:t>Anamnese/Klinik/Splenomegalie</w:t>
            </w:r>
          </w:p>
        </w:tc>
      </w:tr>
      <w:tr w:rsidR="00C02512">
        <w:tc>
          <w:tcPr>
            <w:tcW w:w="5825" w:type="dxa"/>
          </w:tcPr>
          <w:p w:rsidR="00C02512" w:rsidRDefault="001D4B06">
            <w:pPr>
              <w:pStyle w:val="Tabellenbody"/>
            </w:pPr>
            <w:bookmarkStart w:id="406" w:name="ID0ERCBI"/>
            <w:bookmarkEnd w:id="406"/>
            <w:r>
              <w:t>Akute Leukämien (speziell Erythroleukämie, FAB-M6)</w:t>
            </w:r>
          </w:p>
        </w:tc>
        <w:tc>
          <w:tcPr>
            <w:tcW w:w="3814" w:type="dxa"/>
          </w:tcPr>
          <w:p w:rsidR="00C02512" w:rsidRDefault="001D4B06">
            <w:pPr>
              <w:pStyle w:val="Tabellenbody"/>
            </w:pPr>
            <w:bookmarkStart w:id="407" w:name="ID0E3CBI"/>
            <w:bookmarkEnd w:id="407"/>
            <w:r>
              <w:t>Zytologie</w:t>
            </w:r>
          </w:p>
        </w:tc>
      </w:tr>
      <w:tr w:rsidR="00C02512">
        <w:tc>
          <w:tcPr>
            <w:tcW w:w="5825" w:type="dxa"/>
          </w:tcPr>
          <w:p w:rsidR="00C02512" w:rsidRDefault="001D4B06">
            <w:pPr>
              <w:pStyle w:val="Tabellenbody"/>
            </w:pPr>
            <w:bookmarkStart w:id="408" w:name="ID0EIDBI"/>
            <w:bookmarkEnd w:id="408"/>
            <w:r>
              <w:t>Myeloproliferative Erkrankungen (speziell aCML, OMF)</w:t>
            </w:r>
          </w:p>
        </w:tc>
        <w:tc>
          <w:tcPr>
            <w:tcW w:w="3814" w:type="dxa"/>
          </w:tcPr>
          <w:p w:rsidR="00C02512" w:rsidRDefault="001D4B06">
            <w:pPr>
              <w:pStyle w:val="Tabellenbody"/>
            </w:pPr>
            <w:bookmarkStart w:id="409" w:name="ID0ETDBI"/>
            <w:bookmarkEnd w:id="409"/>
            <w:r>
              <w:t>Histologie, Zytogenetik, Molekularbiologie</w:t>
            </w:r>
          </w:p>
        </w:tc>
      </w:tr>
      <w:tr w:rsidR="00C02512">
        <w:tc>
          <w:tcPr>
            <w:tcW w:w="5825" w:type="dxa"/>
          </w:tcPr>
          <w:p w:rsidR="00C02512" w:rsidRDefault="001D4B06">
            <w:pPr>
              <w:pStyle w:val="Tabellenbody"/>
            </w:pPr>
            <w:bookmarkStart w:id="410" w:name="ID0E6DBI"/>
            <w:bookmarkEnd w:id="410"/>
            <w:r>
              <w:t>Haarzellenleukämie, LGL</w:t>
            </w:r>
          </w:p>
        </w:tc>
        <w:tc>
          <w:tcPr>
            <w:tcW w:w="3814" w:type="dxa"/>
          </w:tcPr>
          <w:p w:rsidR="00C02512" w:rsidRDefault="001D4B06">
            <w:pPr>
              <w:pStyle w:val="Tabellenbody"/>
            </w:pPr>
            <w:bookmarkStart w:id="411" w:name="ID0EKEBI"/>
            <w:bookmarkEnd w:id="411"/>
            <w:r>
              <w:t>Zytologie, Immunphänotypisierung</w:t>
            </w:r>
          </w:p>
        </w:tc>
      </w:tr>
      <w:tr w:rsidR="00C02512">
        <w:tc>
          <w:tcPr>
            <w:tcW w:w="5825" w:type="dxa"/>
          </w:tcPr>
          <w:p w:rsidR="00C02512" w:rsidRDefault="001D4B06">
            <w:pPr>
              <w:pStyle w:val="Tabellenbody"/>
            </w:pPr>
            <w:bookmarkStart w:id="412" w:name="ID0EXEBI"/>
            <w:bookmarkEnd w:id="412"/>
            <w:r>
              <w:t>Kongenitale dyserythropoietische Anämien (selten)</w:t>
            </w:r>
          </w:p>
        </w:tc>
        <w:tc>
          <w:tcPr>
            <w:tcW w:w="3814" w:type="dxa"/>
          </w:tcPr>
          <w:p w:rsidR="00C02512" w:rsidRDefault="001D4B06">
            <w:pPr>
              <w:pStyle w:val="Tabellenbody"/>
            </w:pPr>
            <w:bookmarkStart w:id="413" w:name="ID0EDFBI"/>
            <w:bookmarkEnd w:id="413"/>
            <w:r>
              <w:t>Molekularbiologie</w:t>
            </w:r>
          </w:p>
        </w:tc>
      </w:tr>
    </w:tbl>
    <w:p w:rsidR="00C02512" w:rsidRDefault="001D4B06">
      <w:pPr>
        <w:pStyle w:val="berschrift1"/>
      </w:pPr>
      <w:bookmarkStart w:id="414" w:name="ID0EIFBI"/>
      <w:bookmarkEnd w:id="414"/>
      <w:r>
        <w:t>Therapie</w:t>
      </w:r>
    </w:p>
    <w:p w:rsidR="00C02512" w:rsidRDefault="001D4B06">
      <w:pPr>
        <w:pStyle w:val="berschrift2"/>
      </w:pPr>
      <w:bookmarkStart w:id="415" w:name="ID0EOFBI"/>
      <w:bookmarkEnd w:id="415"/>
      <w:r>
        <w:t>Therapiestruktur</w:t>
      </w:r>
    </w:p>
    <w:p w:rsidR="00C02512" w:rsidRDefault="001D4B06">
      <w:bookmarkStart w:id="416" w:name="ID0EUFBI"/>
      <w:bookmarkEnd w:id="416"/>
      <w:r>
        <w:t>Ein Al</w:t>
      </w:r>
      <w:r>
        <w:t xml:space="preserve">gorithmus für die Therapie von Patienten mit Myelodysplastischem Syndrom ist in </w:t>
      </w:r>
      <w:hyperlink w:anchor="ID0EVKBI" w:history="1">
        <w:r>
          <w:rPr>
            <w:rStyle w:val="Hyperlink"/>
          </w:rPr>
          <w:t>Abbildung 1</w:t>
        </w:r>
      </w:hyperlink>
      <w:r>
        <w:t xml:space="preserve"> und </w:t>
      </w:r>
      <w:r>
        <w:t>Abbildung 2</w:t>
      </w:r>
      <w:r>
        <w:t xml:space="preserve"> dargestellt. Wenn immer möglich, sollten Patienten im Rahmen von Studien behandelt werden. </w:t>
      </w:r>
    </w:p>
    <w:p w:rsidR="001D4B06" w:rsidRDefault="001D4B06" w:rsidP="001D4B06">
      <w:pPr>
        <w:pStyle w:val="Grafikbeschriftung"/>
        <w:rPr>
          <w:color w:val="0000FF"/>
        </w:rPr>
      </w:pPr>
      <w:r w:rsidRPr="00911AA5">
        <w:t>Abbildung 1: Therapie bei Myelodysplastischem Syndrom (Niedrigrisiko)</w:t>
      </w:r>
    </w:p>
    <w:p w:rsidR="001D4B06" w:rsidRDefault="001D4B06" w:rsidP="001D4B06">
      <w:pPr>
        <w:pStyle w:val="Grafikabsatz"/>
      </w:pPr>
      <w:r>
        <w:rPr>
          <w:noProof/>
          <w:lang w:eastAsia="de-DE"/>
        </w:rPr>
        <w:drawing>
          <wp:inline distT="0" distB="0" distL="0" distR="0" wp14:anchorId="53082F8B" wp14:editId="7C14BF3C">
            <wp:extent cx="6120130" cy="30645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0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064510"/>
                    </a:xfrm>
                    <a:prstGeom prst="rect">
                      <a:avLst/>
                    </a:prstGeom>
                  </pic:spPr>
                </pic:pic>
              </a:graphicData>
            </a:graphic>
          </wp:inline>
        </w:drawing>
      </w:r>
    </w:p>
    <w:p w:rsidR="001D4B06" w:rsidRPr="00773F9B" w:rsidRDefault="001D4B06" w:rsidP="001D4B06">
      <w:pPr>
        <w:pStyle w:val="Legende"/>
      </w:pPr>
      <w:r w:rsidRPr="00773F9B">
        <w:t>KM – Knochenmark, sEPO – Serum-Erythropoietin</w:t>
      </w:r>
    </w:p>
    <w:p w:rsidR="001D4B06" w:rsidRDefault="001D4B06"/>
    <w:p w:rsidR="001D4B06" w:rsidRDefault="001D4B06" w:rsidP="001D4B06">
      <w:pPr>
        <w:pStyle w:val="Grafikbeschriftung"/>
      </w:pPr>
      <w:r>
        <w:lastRenderedPageBreak/>
        <w:t>Abbildung 2</w:t>
      </w:r>
      <w:r w:rsidRPr="00911AA5">
        <w:t>: Therapie bei Myelodysplastischem Syndrom</w:t>
      </w:r>
      <w:r>
        <w:t xml:space="preserve"> (Hoch</w:t>
      </w:r>
      <w:r w:rsidRPr="00911AA5">
        <w:t>risiko)</w:t>
      </w:r>
    </w:p>
    <w:p w:rsidR="001D4B06" w:rsidRDefault="001D4B06" w:rsidP="001D4B06">
      <w:pPr>
        <w:pStyle w:val="Grafikabsatz"/>
      </w:pPr>
      <w:r>
        <w:rPr>
          <w:noProof/>
          <w:lang w:eastAsia="de-DE"/>
        </w:rPr>
        <w:drawing>
          <wp:inline distT="0" distB="0" distL="0" distR="0" wp14:anchorId="4DD2C851" wp14:editId="2A5BA544">
            <wp:extent cx="6120130" cy="3530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02.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530600"/>
                    </a:xfrm>
                    <a:prstGeom prst="rect">
                      <a:avLst/>
                    </a:prstGeom>
                  </pic:spPr>
                </pic:pic>
              </a:graphicData>
            </a:graphic>
          </wp:inline>
        </w:drawing>
      </w:r>
    </w:p>
    <w:p w:rsidR="001D4B06" w:rsidRDefault="001D4B06"/>
    <w:p w:rsidR="001D4B06" w:rsidRDefault="001D4B06"/>
    <w:p w:rsidR="00C02512" w:rsidRDefault="001D4B06">
      <w:pPr>
        <w:pStyle w:val="berschrift3"/>
      </w:pPr>
      <w:bookmarkStart w:id="417" w:name="ID0EJGBI"/>
      <w:bookmarkEnd w:id="417"/>
      <w:r>
        <w:t>Therapie der Niedrigrisik</w:t>
      </w:r>
      <w:r>
        <w:t>o-MDS (IPSS LOW und IPSS INT-1)</w:t>
      </w:r>
    </w:p>
    <w:p w:rsidR="00C02512" w:rsidRDefault="001D4B06">
      <w:pPr>
        <w:pStyle w:val="berschrift4"/>
      </w:pPr>
      <w:bookmarkStart w:id="418" w:name="ID0EPGBI"/>
      <w:bookmarkEnd w:id="418"/>
      <w:r>
        <w:t>Therapieindikation</w:t>
      </w:r>
    </w:p>
    <w:p w:rsidR="00C02512" w:rsidRDefault="001D4B06">
      <w:bookmarkStart w:id="419" w:name="ID0EVGBI"/>
      <w:bookmarkEnd w:id="419"/>
      <w:r>
        <w:t>In Abhängigkeit vom Alter und von Begleiterkrankungen ist bei vielen MDS-Patienten aufgrund der geringgradigen Zytopenie eine „watch and wait“-Strategie ausreichend. Bei einem wesentlichen Teil der Patienten stellt jedoch die Anämie die häufigste Indikatio</w:t>
      </w:r>
      <w:r>
        <w:t>n zum Therapiebeginn dar. Eine Anämie führt vor allem bei älteren Patienten zu Fatigue, zu erhöhter Sturzhäufigkeit mit Frakturgefahr, zu verminderter Kognition und Lebensqualität sowie zu einem verkürzten Überleben.</w:t>
      </w:r>
    </w:p>
    <w:p w:rsidR="00C02512" w:rsidRDefault="001D4B06">
      <w:bookmarkStart w:id="420" w:name="ID0EYGBI"/>
      <w:bookmarkEnd w:id="420"/>
      <w:r>
        <w:t xml:space="preserve">Wenn ein MDS-Patient therapiebedürftig </w:t>
      </w:r>
      <w:r>
        <w:t>ist, bildet die Basis einer jeglichen Behandlung eine gute supportive Therapie, die sowohl Transfusionen als auch die bedarfsweise Gabe von Antibiotika sowie die suffiziente Behandlung von Begleiterkrankungen einschließt.</w:t>
      </w:r>
    </w:p>
    <w:p w:rsidR="00C02512" w:rsidRDefault="001D4B06">
      <w:bookmarkStart w:id="421" w:name="ID0E2GBI"/>
      <w:bookmarkEnd w:id="421"/>
      <w:r>
        <w:t>Die Indikation für eine krankheits</w:t>
      </w:r>
      <w:r>
        <w:t xml:space="preserve">spezifische Therapie wird in Abhängigkeit von Erkrankungsstadium, Alter und klinischem Zustand des Patienten getroffen. Für die meisten Patienten steht die Erhaltung bzw. Verbesserung der Lebensqualität und der Autonomie im Vordergrund der therapeutischen </w:t>
      </w:r>
      <w:r>
        <w:t xml:space="preserve">Bemühungen. In den Empfehlungen des europäischen Kompetenznetzwerkes für Leukämien sind die Therapiestrategien bei Patienten mit MDS in Abhängigkeit von der Risikoeinordnung zusammengefasst </w:t>
      </w:r>
      <w:r>
        <w:rPr>
          <w:rStyle w:val="Literaturverweis"/>
        </w:rPr>
        <w:t>[</w:t>
      </w:r>
      <w:hyperlink w:anchor="litID0E1YBI" w:history="1">
        <w:r>
          <w:rPr>
            <w:rStyle w:val="Literaturverweis"/>
          </w:rPr>
          <w:t>10</w:t>
        </w:r>
      </w:hyperlink>
      <w:r>
        <w:rPr>
          <w:rStyle w:val="Literaturverweis"/>
        </w:rPr>
        <w:t>]</w:t>
      </w:r>
      <w:r>
        <w:t>.</w:t>
      </w:r>
    </w:p>
    <w:p w:rsidR="00C02512" w:rsidRDefault="001D4B06">
      <w:bookmarkStart w:id="422" w:name="ID0EEHBI"/>
      <w:bookmarkEnd w:id="422"/>
      <w:r>
        <w:t>Die einzige kurative Therapie</w:t>
      </w:r>
      <w:r>
        <w:t>option stellt die allogene Stammzelltransplantation dar. In der Regel ist diese Therapieform den Patienten mit Hochrisiko-MDS vorbehalten, allerdings sollte die Indikation zur allogenen Transplantation auch bei jüngeren Patienten mit niedrigem Krankheitsri</w:t>
      </w:r>
      <w:r>
        <w:t xml:space="preserve">sko und schwerer Thrombopenie und/oder Neutropenie und/oder molekularen Markern mit Hinweis auf eine schlechte Prognose (z. B. ASXL1) gestellt werden. </w:t>
      </w:r>
    </w:p>
    <w:p w:rsidR="00C02512" w:rsidRDefault="001D4B06">
      <w:pPr>
        <w:pStyle w:val="berschrift4"/>
      </w:pPr>
      <w:bookmarkStart w:id="423" w:name="ID0EJHBI"/>
      <w:bookmarkEnd w:id="423"/>
      <w:r>
        <w:t>Supportive Therapie</w:t>
      </w:r>
    </w:p>
    <w:p w:rsidR="00C02512" w:rsidRDefault="001D4B06">
      <w:bookmarkStart w:id="424" w:name="ID0EPHBI"/>
      <w:bookmarkEnd w:id="424"/>
      <w:r>
        <w:t>Hauptbestandteil der supportiven Therapie ist die Transfusion von Erythrozytenkonzentraten in Abhängigkeit vom klinischen Zustand (nicht in Abhängigkeit vom Hb-Wert; Ausnahme: Patienten mit schwerer koronarer Herzerkrankung und/oder anderen schweren Beglei</w:t>
      </w:r>
      <w:r>
        <w:t>terkrankungen sollten mit dem Hb-Wert über 10 g/dl gehalten werden).</w:t>
      </w:r>
    </w:p>
    <w:p w:rsidR="00C02512" w:rsidRDefault="001D4B06">
      <w:bookmarkStart w:id="425" w:name="ID0ESHBI"/>
      <w:bookmarkEnd w:id="425"/>
      <w:r>
        <w:t>Klinisch signifikante Blutungen sind vor allem ab einem Schwellenwert von &lt; 10 Gpt/l Thrombozyten zu erwarten. Die Substitution von Thrombozytenkonzentraten sollte jedoch, wenn möglich, n</w:t>
      </w:r>
      <w:r>
        <w:t xml:space="preserve">icht prophylaktisch </w:t>
      </w:r>
      <w:r>
        <w:lastRenderedPageBreak/>
        <w:t xml:space="preserve">erfolgen (Ausnahme: Fieber, schwere Infektion) sondern nur im Falle von klinischen Blutungszeichen (Gefahr der Allo-Immunisierung). Dabei muß in jedem Fall die Therapieentscheidung individuell an die Gegebenheiten des Patienten und der </w:t>
      </w:r>
      <w:r>
        <w:t>versorgenden Einrichtung (Praxis, Spezialambulanz mit Notfallversorgung etc.) angepasst werden. Eine Therapie mit Tranexamsäure kann im Falle von schweren Thrombozytopenien die Blutungssymptome lindern.</w:t>
      </w:r>
    </w:p>
    <w:p w:rsidR="00C02512" w:rsidRDefault="001D4B06">
      <w:bookmarkStart w:id="426" w:name="ID0EVHBI"/>
      <w:bookmarkEnd w:id="426"/>
      <w:r>
        <w:t>Die Anwendung von Antibiotika im Falle von Infektione</w:t>
      </w:r>
      <w:r>
        <w:t>n (auch Bagatell-Infektionen) sollte großzügig erfolgen, insbesondere bei neutropenen Patienten. Eine regelmäßige Antibiotika-Prophylaxe ist nicht empfohlen (bisher keine eindeutigen Daten für einen Nutzen hinsichtlich der Anzahl und Schwere von Infektione</w:t>
      </w:r>
      <w:r>
        <w:t>n bei Patienten mit MDS). Allerdings sollte der allgemeinen Empfehlung der Impfung gegen Pneumokokken (STIKO-Empfehlung ab dem 65. Lebensjahr) und für die Grippeschutzimpfung entsprochen werden.</w:t>
      </w:r>
    </w:p>
    <w:p w:rsidR="00C02512" w:rsidRDefault="001D4B06">
      <w:bookmarkStart w:id="427" w:name="ID0EYHBI"/>
      <w:bookmarkEnd w:id="427"/>
      <w:r>
        <w:t>Die adäquate Behandlung von Begleiterkrankungen (Lungenerkran</w:t>
      </w:r>
      <w:r>
        <w:t>kungen, Herzerkrankungen etc.) ist wichtiger Bestandteil der Gesamttherapie.</w:t>
      </w:r>
    </w:p>
    <w:p w:rsidR="00C02512" w:rsidRDefault="001D4B06">
      <w:pPr>
        <w:pStyle w:val="berschrift4"/>
      </w:pPr>
      <w:bookmarkStart w:id="428" w:name="ID0E4HBI"/>
      <w:bookmarkEnd w:id="428"/>
      <w:r>
        <w:t>Eisenchelatoren</w:t>
      </w:r>
    </w:p>
    <w:p w:rsidR="00C02512" w:rsidRDefault="001D4B06">
      <w:bookmarkStart w:id="429" w:name="ID0EDIBI"/>
      <w:bookmarkEnd w:id="429"/>
      <w:r>
        <w:t xml:space="preserve">Polytransfundierte Patienten sind längerfristig durch die begleitende sekundäre Hämochromatose (Kardiomyopathie, Hepatopathie) bedroht. Deshalb kann bei Patienten </w:t>
      </w:r>
      <w:r>
        <w:t>mit einer Lebenserwartung von mehr als 2 Jahren, die mindestens 20 Erythrozytenkonzentrate erhalten bzw. einen Serumferritinspiegel von &gt;1000 ng/ml haben, eine Therapie mit Eisenchelatoren (Deferasirox, Desferoxamin) erwogen werden (Evidenzstärke IIa, Empf</w:t>
      </w:r>
      <w:r>
        <w:t xml:space="preserve">ehlungsgrad D) </w:t>
      </w:r>
      <w:r>
        <w:rPr>
          <w:rStyle w:val="Literaturverweis"/>
        </w:rPr>
        <w:t>[</w:t>
      </w:r>
      <w:hyperlink w:anchor="litID0EEZBI" w:history="1">
        <w:r>
          <w:rPr>
            <w:rStyle w:val="Literaturverweis"/>
          </w:rPr>
          <w:t>11</w:t>
        </w:r>
      </w:hyperlink>
      <w:r>
        <w:rPr>
          <w:rStyle w:val="Literaturverweis"/>
        </w:rPr>
        <w:t>,</w:t>
      </w:r>
      <w:hyperlink w:anchor="litID0EOZBI" w:history="1">
        <w:r>
          <w:rPr>
            <w:rStyle w:val="Literaturverweis"/>
          </w:rPr>
          <w:t>12</w:t>
        </w:r>
      </w:hyperlink>
      <w:r>
        <w:rPr>
          <w:rStyle w:val="Literaturverweis"/>
        </w:rPr>
        <w:t>,</w:t>
      </w:r>
      <w:hyperlink w:anchor="litID0EYZBI" w:history="1">
        <w:r>
          <w:rPr>
            <w:rStyle w:val="Literaturverweis"/>
          </w:rPr>
          <w:t>13</w:t>
        </w:r>
      </w:hyperlink>
      <w:r>
        <w:rPr>
          <w:rStyle w:val="Literaturverweis"/>
        </w:rPr>
        <w:t>,</w:t>
      </w:r>
      <w:hyperlink w:anchor="litID0EC1BI" w:history="1">
        <w:r>
          <w:rPr>
            <w:rStyle w:val="Literaturverweis"/>
          </w:rPr>
          <w:t>14</w:t>
        </w:r>
      </w:hyperlink>
      <w:r>
        <w:rPr>
          <w:rStyle w:val="Literaturverweis"/>
        </w:rPr>
        <w:t>]</w:t>
      </w:r>
      <w:r>
        <w:t>. Prospektive randomisierte Studien hinsichtlich der Effektivität und dem Einfluß auf das Langzeitüberle</w:t>
      </w:r>
      <w:r>
        <w:t>ben bei Patienten mit MDS werden zur Zeit durchgeführt. Die Ergebnisse sind allerdings wegen der langen Nachbeobachtungszeit erst in einigen Jahren zu erwarten. Zur Zeit wird ein positiver Effekt der Eisenchelation auf die Hämatopoese (Verbesserung der Ery</w:t>
      </w:r>
      <w:r>
        <w:t>thropoese, aber auch Thrombopoese) durch die Verminderung des negativen Einflusses der freien Sauerstoffradikale auf proliferierende hämatopoetische Zellen sowohl in-vitro als auch im Zusammenhang mit klinischen Studien geprüft.</w:t>
      </w:r>
    </w:p>
    <w:p w:rsidR="00C02512" w:rsidRDefault="001D4B06">
      <w:pPr>
        <w:pStyle w:val="berschrift4"/>
      </w:pPr>
      <w:bookmarkStart w:id="430" w:name="ID0EUIBI"/>
      <w:bookmarkEnd w:id="430"/>
      <w:r>
        <w:t>Hämatopoetische Wachstumsfa</w:t>
      </w:r>
      <w:r>
        <w:t>ktoren</w:t>
      </w:r>
    </w:p>
    <w:p w:rsidR="00C02512" w:rsidRDefault="001D4B06">
      <w:bookmarkStart w:id="431" w:name="ID0E1IBI"/>
      <w:bookmarkEnd w:id="431"/>
      <w:r>
        <w:t>Für den Granulozyten-Kolonie stimulierenden Faktor (G-CSF) existieren bis heute keine Daten aus vollpublizierten prospektiv randomisierten klinischen Studien, die den Einsatz beim MDS (von Ausnahmen abgesehen – siehe unten) rechtfertigen. Die Behand</w:t>
      </w:r>
      <w:r>
        <w:t>lung mit G-CSF kann lediglich zu einem transienten Anstieg der Zahl der neutrophilen Granulozyten führen. Als Ausnahme ist nur die interventionelle G-CSF-Gabe bei wiederholten komplizierten Infektionen bei schwerer Neutropenie akzeptiert (Evidenzstärke III</w:t>
      </w:r>
      <w:r>
        <w:t>, Empfehlungsgrad C).</w:t>
      </w:r>
    </w:p>
    <w:p w:rsidR="00C02512" w:rsidRDefault="001D4B06">
      <w:bookmarkStart w:id="432" w:name="ID0E4IBI"/>
      <w:bookmarkEnd w:id="432"/>
      <w:r>
        <w:t>Die Therapie mit Erythropoese stimulierenden Faktoren (ESF, klassisch: subkutanes Erythropoetin 40.000 IE/Woche, bei unzureichender Wirkung ggf. steigern auf 60.000 IE/Woche, verteilt auf 3 Gaben pro Woche); Verzögerungserythropoetin:</w:t>
      </w:r>
      <w:r>
        <w:t xml:space="preserve"> 300 µg wöchentlich bzw. 500 µg zweiwöchentlich subkutan) muß in Anlehnung an den sogenannten „Nordic Score“ </w:t>
      </w:r>
      <w:r>
        <w:rPr>
          <w:rStyle w:val="Literaturverweis"/>
        </w:rPr>
        <w:t>[</w:t>
      </w:r>
      <w:hyperlink w:anchor="litID0EM1BI" w:history="1">
        <w:r>
          <w:rPr>
            <w:rStyle w:val="Literaturverweis"/>
          </w:rPr>
          <w:t>15</w:t>
        </w:r>
      </w:hyperlink>
      <w:r>
        <w:rPr>
          <w:rStyle w:val="Literaturverweis"/>
        </w:rPr>
        <w:t>]</w:t>
      </w:r>
      <w:r>
        <w:t xml:space="preserve"> erfolgen (</w:t>
      </w:r>
      <w:r>
        <w:t>Abbildung 2</w:t>
      </w:r>
      <w:r>
        <w:t xml:space="preserve">). Die Kombination mit niedrigen Dosen von G-CSF (100 µg G-CSF s. c. 2-3 mal pro Woche </w:t>
      </w:r>
      <w:r>
        <w:t>mit dem Hintergrund, die Wirksamkeit von Erythropoetin zu modulieren, nicht, um die Leukozyten anzuheben – s. o.) kann die Wirkung von Erythropoetin, insbesondere bei Patienten mit RARS, die sonst häufig refraktär auf eine alleinige Erythropoetin-Behandlun</w:t>
      </w:r>
      <w:r>
        <w:t>g sind, verbessern.</w:t>
      </w:r>
    </w:p>
    <w:p w:rsidR="00C02512" w:rsidRDefault="001D4B06">
      <w:pPr>
        <w:pStyle w:val="Listeneinfhrung"/>
      </w:pPr>
      <w:bookmarkStart w:id="433" w:name="ID0ENJBI"/>
      <w:bookmarkEnd w:id="433"/>
      <w:r>
        <w:t>Unter Berücksichtigung der prädiktiven Faktoren</w:t>
      </w:r>
    </w:p>
    <w:p w:rsidR="00C02512" w:rsidRDefault="001D4B06">
      <w:pPr>
        <w:pStyle w:val="Liste1"/>
        <w:numPr>
          <w:ilvl w:val="0"/>
          <w:numId w:val="27"/>
        </w:numPr>
      </w:pPr>
      <w:bookmarkStart w:id="434" w:name="ID0ETJBI"/>
      <w:bookmarkEnd w:id="434"/>
      <w:r>
        <w:t>Erythropoetinspiegel &lt;100 (500) IE/ml</w:t>
      </w:r>
    </w:p>
    <w:p w:rsidR="00C02512" w:rsidRDefault="001D4B06">
      <w:pPr>
        <w:pStyle w:val="Liste1"/>
        <w:numPr>
          <w:ilvl w:val="0"/>
          <w:numId w:val="27"/>
        </w:numPr>
      </w:pPr>
      <w:bookmarkStart w:id="435" w:name="ID0EYJBI"/>
      <w:bookmarkEnd w:id="435"/>
      <w:r>
        <w:t>geringe Transfusionsabhängigkeit (maximal 2 EK in 8 Wochen)</w:t>
      </w:r>
    </w:p>
    <w:p w:rsidR="00C02512" w:rsidRDefault="001D4B06">
      <w:pPr>
        <w:pStyle w:val="Liste1"/>
        <w:numPr>
          <w:ilvl w:val="0"/>
          <w:numId w:val="27"/>
        </w:numPr>
      </w:pPr>
      <w:bookmarkStart w:id="436" w:name="ID0E4JBI"/>
      <w:bookmarkEnd w:id="436"/>
      <w:r>
        <w:t>IPSS LOW/INT-1 MDS</w:t>
      </w:r>
    </w:p>
    <w:p w:rsidR="00C02512" w:rsidRDefault="001D4B06">
      <w:bookmarkStart w:id="437" w:name="ID0EBKBI"/>
      <w:bookmarkEnd w:id="437"/>
      <w:r>
        <w:t>kann ein Ansprechen bei bis zu 75 % der entsprechend ausgewählten Patie</w:t>
      </w:r>
      <w:r>
        <w:t>nten erreicht werden (</w:t>
      </w:r>
      <w:r>
        <w:t>Abbildung 3</w:t>
      </w:r>
      <w:r>
        <w:t xml:space="preserve">, Evidenzstärke Ib, Empfehlungsgrad A) </w:t>
      </w:r>
      <w:r>
        <w:rPr>
          <w:rStyle w:val="Literaturverweis"/>
        </w:rPr>
        <w:t>[</w:t>
      </w:r>
      <w:hyperlink w:anchor="litID0EM1BI" w:history="1">
        <w:r>
          <w:rPr>
            <w:rStyle w:val="Literaturverweis"/>
          </w:rPr>
          <w:t>15</w:t>
        </w:r>
      </w:hyperlink>
      <w:r>
        <w:rPr>
          <w:rStyle w:val="Literaturverweis"/>
        </w:rPr>
        <w:t>,</w:t>
      </w:r>
      <w:hyperlink w:anchor="litID0EW1BI" w:history="1">
        <w:r>
          <w:rPr>
            <w:rStyle w:val="Literaturverweis"/>
          </w:rPr>
          <w:t>16</w:t>
        </w:r>
      </w:hyperlink>
      <w:r>
        <w:rPr>
          <w:rStyle w:val="Literaturverweis"/>
        </w:rPr>
        <w:t>]</w:t>
      </w:r>
      <w:r>
        <w:t>. In der Regel ist das Ansprechen nach spätestens 6 Monaten Therapie zu erwarten. Bleibt es aus, sollte die Beha</w:t>
      </w:r>
      <w:r>
        <w:t>ndlung beendet werden.</w:t>
      </w:r>
    </w:p>
    <w:p w:rsidR="00C02512" w:rsidRDefault="001D4B06">
      <w:pPr>
        <w:pStyle w:val="Grafikbeschriftung"/>
      </w:pPr>
      <w:bookmarkStart w:id="438" w:name="ID0EVKBI"/>
      <w:r>
        <w:t xml:space="preserve">Abbildung </w:t>
      </w:r>
      <w:bookmarkEnd w:id="438"/>
      <w:r>
        <w:t>3</w:t>
      </w:r>
      <w:r>
        <w:t xml:space="preserve">: </w:t>
      </w:r>
      <w:r>
        <w:t>Modifizierter Score der Nordic MDS-Group</w:t>
      </w:r>
    </w:p>
    <w:p w:rsidR="00C02512" w:rsidRDefault="001D4B06">
      <w:pPr>
        <w:pStyle w:val="Grafikabsatz"/>
      </w:pPr>
      <w:bookmarkStart w:id="439" w:name="ID0EUKBI"/>
      <w:bookmarkEnd w:id="439"/>
      <w:r>
        <w:rPr>
          <w:noProof/>
          <w:lang w:eastAsia="de-DE"/>
        </w:rPr>
        <w:lastRenderedPageBreak/>
        <mc:AlternateContent>
          <mc:Choice Requires="wps">
            <w:drawing>
              <wp:anchor distT="0" distB="0" distL="0" distR="0" simplePos="0" relativeHeight="251656192" behindDoc="0" locked="0" layoutInCell="1" allowOverlap="1">
                <wp:simplePos x="0" y="0"/>
                <wp:positionH relativeFrom="column">
                  <wp:posOffset>-254000</wp:posOffset>
                </wp:positionH>
                <wp:positionV relativeFrom="paragraph">
                  <wp:posOffset>233680</wp:posOffset>
                </wp:positionV>
                <wp:extent cx="200025" cy="3334385"/>
                <wp:effectExtent l="3175" t="0" r="0" b="3810"/>
                <wp:wrapNone/>
                <wp:docPr id="7" name="Textfeld 100000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3334385"/>
                        </a:xfrm>
                        <a:prstGeom prst="rect">
                          <a:avLst/>
                        </a:prstGeom>
                        <a:solidFill>
                          <a:schemeClr val="lt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C02512" w:rsidRDefault="001D4B06">
                            <w:pPr>
                              <w:pStyle w:val="Dateiname"/>
                            </w:pPr>
                            <w:r>
                              <w:t>Abb03.png</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00000002" o:spid="_x0000_s1030" type="#_x0000_t202" style="position:absolute;margin-left:-20pt;margin-top:18.4pt;width:15.75pt;height:262.5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" fillcolor="white [3201]" stroked="f" strokeweight="0">
                <v:textbox style="layout-flow:vertical;mso-layout-flow-alt:bottom-to-top" inset="0,0,0,0">
                  <w:txbxContent>
                    <w:p w:rsidR="00C02512" w:rsidRDefault="001D4B06">
                      <w:pPr>
                        <w:pStyle w:val="Dateiname"/>
                      </w:pPr>
                      <w:r>
                        <w:t>Abb03.png</w:t>
                      </w:r>
                    </w:p>
                  </w:txbxContent>
                </v:textbox>
              </v:shape>
            </w:pict>
          </mc:Fallback>
        </mc:AlternateContent>
      </w:r>
      <w:r>
        <w:rPr>
          <w:noProof/>
          <w:lang w:eastAsia="de-DE"/>
        </w:rPr>
        <w:drawing>
          <wp:anchor distT="0" distB="0" distL="0" distR="0" simplePos="0" relativeHeight="251655168" behindDoc="0" locked="1" layoutInCell="1" allowOverlap="1">
            <wp:simplePos x="0" y="0"/>
            <wp:positionH relativeFrom="column">
              <wp:posOffset>16510</wp:posOffset>
            </wp:positionH>
            <wp:positionV relativeFrom="paragraph">
              <wp:posOffset>217170</wp:posOffset>
            </wp:positionV>
            <wp:extent cx="6095497" cy="3334237"/>
            <wp:effectExtent l="0" t="0" r="0" b="0"/>
            <wp:wrapTopAndBottom/>
            <wp:docPr id="100000000" name="Ab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0001" name="Abb03.png"/>
                    <pic:cNvPicPr/>
                  </pic:nvPicPr>
                  <pic:blipFill>
                    <a:blip r:embed="rId11"/>
                    <a:stretch>
                      <a:fillRect/>
                    </a:stretch>
                  </pic:blipFill>
                  <pic:spPr>
                    <a:xfrm>
                      <a:off x="0" y="0"/>
                      <a:ext cx="6095497" cy="3334237"/>
                    </a:xfrm>
                    <a:prstGeom prst="rect">
                      <a:avLst/>
                    </a:prstGeom>
                  </pic:spPr>
                </pic:pic>
              </a:graphicData>
            </a:graphic>
          </wp:anchor>
        </w:drawing>
      </w:r>
    </w:p>
    <w:p w:rsidR="00C02512" w:rsidRDefault="001D4B06">
      <w:bookmarkStart w:id="440" w:name="ID0E5KBI"/>
      <w:bookmarkEnd w:id="440"/>
      <w:r>
        <w:t>Der Score der Nordic MDS-Group berücksichtigt die Transfusionsfrequenz mit weniger als 2 Erythrozytenkonzentraten pro Monat (Score-Wert +2) und 2 oder mehr Erythroz</w:t>
      </w:r>
      <w:r>
        <w:t>ytenkonzentraten pro Monat (Score-Wert -2) sowie die Höhe des endogenen Erythropoetin-Spiegels. Je nach Höhe des endogenen Erythropoetin-Spiegels wird ein Score-Wert von -3 bis +2 vergeben. Die Addition des Score-Wertes für die Transfusionsfrequenz und des</w:t>
      </w:r>
      <w:r>
        <w:t xml:space="preserve"> Score-Wertes für den endogenen Erythropoetin-Spiegel ergibt den Wert, der mit der Wahrscheinlichkeit auf ein Ansprechen auf eine Therapie mit Erythropoese-stimulierenden Medikamenten (Erythropoetin ± Granulozyten-Kolonie stimulierender Faktor) korreliert </w:t>
      </w:r>
      <w:r>
        <w:rPr>
          <w:rStyle w:val="Literaturverweis"/>
        </w:rPr>
        <w:t>[</w:t>
      </w:r>
      <w:hyperlink w:anchor="litID0EM1BI" w:history="1">
        <w:r>
          <w:rPr>
            <w:rStyle w:val="Literaturverweis"/>
          </w:rPr>
          <w:t>15</w:t>
        </w:r>
      </w:hyperlink>
      <w:r>
        <w:rPr>
          <w:rStyle w:val="Literaturverweis"/>
        </w:rPr>
        <w:t>]</w:t>
      </w:r>
      <w:r>
        <w:t>.</w:t>
      </w:r>
    </w:p>
    <w:p w:rsidR="00C02512" w:rsidRDefault="001D4B06">
      <w:bookmarkStart w:id="441" w:name="ID0EHLBI"/>
      <w:bookmarkEnd w:id="441"/>
      <w:r>
        <w:t>Die Verfügbarkeit von thrombopoetischen Wachstumsfaktoren (Romiplostim, Eltrombopag) bietet die Möglichkeit, die schwere Thrombozytopenie bei Niedrigrisiko MDS-Patienten erfolgreich zu behandeln. Erste Ergebnisse aus Phase II-III Studien deuten darauf hin,</w:t>
      </w:r>
      <w:r>
        <w:t xml:space="preserve"> daß bei 30-50 % der Patienten mit Thrombozytenwerten unter 50.000 /µl eine signifikante Verbesserung der Thrombopoese verbunden mit einer geringeren Inzidenz von Blutungsereignissen erzielt werden kann (Evidenzstärke Ib, Empfehlungsgrad B).</w:t>
      </w:r>
    </w:p>
    <w:p w:rsidR="00C02512" w:rsidRDefault="001D4B06">
      <w:pPr>
        <w:pStyle w:val="berschrift4"/>
      </w:pPr>
      <w:bookmarkStart w:id="442" w:name="ID0EMLBI"/>
      <w:bookmarkEnd w:id="442"/>
      <w:r>
        <w:t>Histon-Deacety</w:t>
      </w:r>
      <w:r>
        <w:t>lase-Inhibitoren (HDAC-Inhibitoren)</w:t>
      </w:r>
    </w:p>
    <w:p w:rsidR="00C02512" w:rsidRDefault="001D4B06">
      <w:bookmarkStart w:id="443" w:name="ID0ESLBI"/>
      <w:bookmarkEnd w:id="443"/>
      <w:r>
        <w:t>Valproinsäure führt beim MDS zu einem Ansprechen der Erythropoese bei bis zu 50 % der behandelten Patienten. Die Therapie mit Valproinsäure wird in ansteigender Dosierung, beginnend mit 500 mg/d, durchgeführt, wobei Blut</w:t>
      </w:r>
      <w:r>
        <w:t>spiegelkontrollen mit Zielspiegeln von 70-120 µg/l zur Dosisfindung notwendig sind. Die Therapie mit Valproinsäure stellt beim transfusionspflichtigen Niedrigrisiko-MDS, welches nicht für eine Therapie mit Wachstumsfaktoren oder immunmodulatorischen Substa</w:t>
      </w:r>
      <w:r>
        <w:t xml:space="preserve">nzen in Frage kommt, eine mögliche Option dar </w:t>
      </w:r>
      <w:r>
        <w:rPr>
          <w:rStyle w:val="Literaturverweis"/>
        </w:rPr>
        <w:t>[</w:t>
      </w:r>
      <w:hyperlink w:anchor="litID0EA2BI" w:history="1">
        <w:r>
          <w:rPr>
            <w:rStyle w:val="Literaturverweis"/>
          </w:rPr>
          <w:t>17</w:t>
        </w:r>
      </w:hyperlink>
      <w:r>
        <w:rPr>
          <w:rStyle w:val="Literaturverweis"/>
        </w:rPr>
        <w:t>]</w:t>
      </w:r>
      <w:r>
        <w:t>. Die Therapie sollte für mindestens 3 Monate durchgeführt werden, ehe mit einem Ansprechen zu rechnen ist. Weitere HDAC-Inhibitoren, z. B. Panobinostat, haben bislang aufgrun</w:t>
      </w:r>
      <w:r>
        <w:t>d ihrer hohen Hämatotoxizität und der fehlenden Wirkung keinen Stellenwert bei der Behandlung des MDS.</w:t>
      </w:r>
    </w:p>
    <w:p w:rsidR="00C02512" w:rsidRDefault="001D4B06">
      <w:pPr>
        <w:pStyle w:val="berschrift4"/>
      </w:pPr>
      <w:bookmarkStart w:id="444" w:name="ID0E4LBI"/>
      <w:bookmarkEnd w:id="444"/>
      <w:r>
        <w:t>Immunmodulatorische Substanzen</w:t>
      </w:r>
    </w:p>
    <w:p w:rsidR="00C02512" w:rsidRDefault="001D4B06">
      <w:bookmarkStart w:id="445" w:name="ID0EDMBI"/>
      <w:bookmarkEnd w:id="445"/>
      <w:r>
        <w:t>Die Weiterentwicklung von Thalidomid hat zur Generierung sogenannter immunmodulatorischer Derivate (IMiDs) geführt. Die Wi</w:t>
      </w:r>
      <w:r>
        <w:t>rkungsweise ist noch nicht komplett verstanden, beinhaltet jedoch neben der Inhibierung von TNF-alpha auch eine Aktivierung von T- und NK-Zellen sowie direkte proapoptotische Mechanismen.</w:t>
      </w:r>
    </w:p>
    <w:p w:rsidR="00C02512" w:rsidRDefault="001D4B06">
      <w:bookmarkStart w:id="446" w:name="ID0EGMBI"/>
      <w:bookmarkEnd w:id="446"/>
      <w:r>
        <w:t>Die Behandlung mit Lenalidomid führt bei etwa 60 % der MDS-Patienten</w:t>
      </w:r>
      <w:r>
        <w:t xml:space="preserve"> mit einer singulären Deletion am Chromosom 5 und einer transfusionspflichtigen Anämie bei IPSS-Risiko „low“ bzw. „int-1“ zum Ansprechen mit dem Ergebnis einer Transfusionsunabhängigkeit sowie bei einem Teil der Patienten zu einer zytogenetischen Remission</w:t>
      </w:r>
      <w:r>
        <w:t xml:space="preserve"> (Evidenzstärke Ib, Empfehlungsgrad A) </w:t>
      </w:r>
      <w:r>
        <w:rPr>
          <w:rStyle w:val="Literaturverweis"/>
        </w:rPr>
        <w:t>[</w:t>
      </w:r>
      <w:hyperlink w:anchor="litID0EK2BI" w:history="1">
        <w:r>
          <w:rPr>
            <w:rStyle w:val="Literaturverweis"/>
          </w:rPr>
          <w:t>18</w:t>
        </w:r>
      </w:hyperlink>
      <w:r>
        <w:rPr>
          <w:rStyle w:val="Literaturverweis"/>
        </w:rPr>
        <w:t>]</w:t>
      </w:r>
      <w:r>
        <w:t>. Patienten mit nur einer Zusatzaberration (außer von Chromosom 7) sprechen ähnlich gut an.</w:t>
      </w:r>
    </w:p>
    <w:p w:rsidR="00C02512" w:rsidRDefault="001D4B06">
      <w:bookmarkStart w:id="447" w:name="ID0EPMBI"/>
      <w:bookmarkEnd w:id="447"/>
      <w:r>
        <w:lastRenderedPageBreak/>
        <w:t>Die minimale wirksame Dosis ist bis jetzt nicht definiert, basierend auf einer randomisier</w:t>
      </w:r>
      <w:r>
        <w:t xml:space="preserve">ten Studie </w:t>
      </w:r>
      <w:r>
        <w:rPr>
          <w:rStyle w:val="Literaturverweis"/>
        </w:rPr>
        <w:t>[</w:t>
      </w:r>
      <w:hyperlink w:anchor="litID0EU2BI" w:history="1">
        <w:r>
          <w:rPr>
            <w:rStyle w:val="Literaturverweis"/>
          </w:rPr>
          <w:t>19</w:t>
        </w:r>
      </w:hyperlink>
      <w:r>
        <w:rPr>
          <w:rStyle w:val="Literaturverweis"/>
        </w:rPr>
        <w:t>]</w:t>
      </w:r>
      <w:r>
        <w:t xml:space="preserve"> führt eine Dosierung von 10 mg/Tag zu einer höhreren Rate an zytogenetischen Remissionen und sollte - mit entsprechender Anpassung der Dosis in Abhängigkeit der Thrombozytenzahl – zum Einsatz kommen. Sollte na</w:t>
      </w:r>
      <w:r>
        <w:t>ch 4 Monaten keine Verbesserung der Transfusionspflichtigkeit eingetreten sein, sollte die Therapie beendet werden. Die Effektivität von Lenalidomid bei Patienten mit MDS ohne Veränderungen am Chromosom 5 ist gering. Die Behandlung dieser Patienten mit der</w:t>
      </w:r>
      <w:r>
        <w:t xml:space="preserve"> Substanz sollte aufgrund dessen streng abgewogen werden (Evidenzstärke IIa, Empfehlungsgrad B) </w:t>
      </w:r>
      <w:r>
        <w:rPr>
          <w:rStyle w:val="Literaturverweis"/>
        </w:rPr>
        <w:t>[</w:t>
      </w:r>
      <w:hyperlink w:anchor="litID0E52BI" w:history="1">
        <w:r>
          <w:rPr>
            <w:rStyle w:val="Literaturverweis"/>
          </w:rPr>
          <w:t>20</w:t>
        </w:r>
      </w:hyperlink>
      <w:r>
        <w:rPr>
          <w:rStyle w:val="Literaturverweis"/>
        </w:rPr>
        <w:t>]</w:t>
      </w:r>
      <w:r>
        <w:t>.</w:t>
      </w:r>
    </w:p>
    <w:p w:rsidR="00C02512" w:rsidRDefault="001D4B06">
      <w:pPr>
        <w:pStyle w:val="berschrift4"/>
      </w:pPr>
      <w:bookmarkStart w:id="448" w:name="ID0E6MBI"/>
      <w:bookmarkEnd w:id="448"/>
      <w:r>
        <w:t>6. 1. 1. 7.Immunsuppressive Therapie</w:t>
      </w:r>
    </w:p>
    <w:p w:rsidR="00C02512" w:rsidRDefault="001D4B06">
      <w:pPr>
        <w:pStyle w:val="Listeneinfhrung"/>
      </w:pPr>
      <w:bookmarkStart w:id="449" w:name="ID0EINBI"/>
      <w:bookmarkEnd w:id="449"/>
      <w:r>
        <w:t>Die Behandlung mit immunsuppressiven Medikamenten (ähnlich zur Therapie der schweren a</w:t>
      </w:r>
      <w:r>
        <w:t>plastischen Anämie) beruht auf den positiven Erfahrungen bei einer Subgruppe von Patienten, die wie folgt charakterisiert sind:</w:t>
      </w:r>
    </w:p>
    <w:p w:rsidR="00C02512" w:rsidRDefault="001D4B06">
      <w:pPr>
        <w:pStyle w:val="Liste1"/>
        <w:numPr>
          <w:ilvl w:val="0"/>
          <w:numId w:val="28"/>
        </w:numPr>
      </w:pPr>
      <w:bookmarkStart w:id="450" w:name="ID0EONBI"/>
      <w:bookmarkEnd w:id="450"/>
      <w:r>
        <w:t>hypozelluläres Knochenmark</w:t>
      </w:r>
    </w:p>
    <w:p w:rsidR="00C02512" w:rsidRDefault="001D4B06">
      <w:pPr>
        <w:pStyle w:val="Liste1"/>
        <w:numPr>
          <w:ilvl w:val="0"/>
          <w:numId w:val="28"/>
        </w:numPr>
      </w:pPr>
      <w:bookmarkStart w:id="451" w:name="ID0ETNBI"/>
      <w:bookmarkEnd w:id="451"/>
      <w:r>
        <w:t>MDS mit niedrigem Krankheitsrisko (IPSS LOW und INT-1)</w:t>
      </w:r>
    </w:p>
    <w:p w:rsidR="00C02512" w:rsidRDefault="001D4B06">
      <w:pPr>
        <w:pStyle w:val="Liste1"/>
        <w:numPr>
          <w:ilvl w:val="0"/>
          <w:numId w:val="28"/>
        </w:numPr>
      </w:pPr>
      <w:bookmarkStart w:id="452" w:name="ID0EYNBI"/>
      <w:bookmarkEnd w:id="452"/>
      <w:r>
        <w:t>geringe Transfusionsbedürftigkeit</w:t>
      </w:r>
    </w:p>
    <w:p w:rsidR="00C02512" w:rsidRDefault="001D4B06">
      <w:bookmarkStart w:id="453" w:name="ID0E3NBI"/>
      <w:bookmarkEnd w:id="453"/>
      <w:r>
        <w:t>Etwa 30 % de</w:t>
      </w:r>
      <w:r>
        <w:t>r Patienten, die mit Antithymozytenglobulin behandelt wurden, erreichen Transfusionsfreiheit, wobei insbesondere Patienten, die HLA-DR15 positiv sind, von dieser Behandlung profitieren. Wegen der teilweise starken Nebenwirkungen und dem noch nicht klar def</w:t>
      </w:r>
      <w:r>
        <w:t>inierten Patientengut sollte eine immunsuppressive Behandlung beim MDS ausschließlich an einem hämatologischen Zentrum durchgeführt werden</w:t>
      </w:r>
      <w:r>
        <w:rPr>
          <w:vertAlign w:val="superscript"/>
        </w:rPr>
        <w:t xml:space="preserve"> </w:t>
      </w:r>
      <w:r>
        <w:rPr>
          <w:rStyle w:val="Literaturverweis"/>
        </w:rPr>
        <w:t>[</w:t>
      </w:r>
      <w:hyperlink w:anchor="litID0EI3BI" w:history="1">
        <w:r>
          <w:rPr>
            <w:rStyle w:val="Literaturverweis"/>
          </w:rPr>
          <w:t>21</w:t>
        </w:r>
      </w:hyperlink>
      <w:r>
        <w:rPr>
          <w:rStyle w:val="Literaturverweis"/>
        </w:rPr>
        <w:t>]</w:t>
      </w:r>
      <w:r>
        <w:t>.</w:t>
      </w:r>
    </w:p>
    <w:p w:rsidR="00C02512" w:rsidRDefault="001D4B06">
      <w:pPr>
        <w:pStyle w:val="berschrift3"/>
      </w:pPr>
      <w:bookmarkStart w:id="454" w:name="ID0EJOBI"/>
      <w:bookmarkEnd w:id="454"/>
      <w:r>
        <w:t>Therapie der Hochrisiko-MDS (IPSS INT-2 und IPSS HIGH)</w:t>
      </w:r>
    </w:p>
    <w:p w:rsidR="00C02512" w:rsidRDefault="001D4B06">
      <w:bookmarkStart w:id="455" w:name="ID0EPOBI"/>
      <w:bookmarkEnd w:id="455"/>
      <w:r>
        <w:t>Bei allen Patienten mit H</w:t>
      </w:r>
      <w:r>
        <w:t xml:space="preserve">ochrisiko-MDS sollte zunächst die Möglichkeit einer allogenen Stammzelltransplantation geprüft werden. Patienten, die nicht für dieses Verfahren in Frage kommen, können eine Behandlung mit Azacitidin erhalten. Bei Progress sollten Patienten, wenn möglich, </w:t>
      </w:r>
      <w:r>
        <w:t>in laufende klinische Studien eingeschlossen werden.</w:t>
      </w:r>
    </w:p>
    <w:p w:rsidR="00C02512" w:rsidRDefault="001D4B06">
      <w:bookmarkStart w:id="456" w:name="ID0ESOBI"/>
      <w:bookmarkEnd w:id="456"/>
      <w:r>
        <w:t>Weitere Informationen sind über das Kompetenznetzwerk „Akute und chronische Leukämien“, das Düsseldorfer MDS-Register, das europäische MDS Studienbüro (EMSCO) sowie über die Koordinationszentrale des Deu</w:t>
      </w:r>
      <w:r>
        <w:t>tschen MDS-Verbundprojektes zugänglich, siehe Kapitel 14</w:t>
      </w:r>
      <w:r>
        <w:t>.</w:t>
      </w:r>
    </w:p>
    <w:p w:rsidR="00C02512" w:rsidRDefault="001D4B06">
      <w:pPr>
        <w:pStyle w:val="berschrift4"/>
      </w:pPr>
      <w:bookmarkStart w:id="457" w:name="ID0EZOBI"/>
      <w:bookmarkEnd w:id="457"/>
      <w:r>
        <w:t>Therapieindikation</w:t>
      </w:r>
    </w:p>
    <w:p w:rsidR="00C02512" w:rsidRDefault="001D4B06">
      <w:bookmarkStart w:id="458" w:name="ID0E6OBI"/>
      <w:bookmarkEnd w:id="458"/>
      <w:r>
        <w:t>Da  die Lebenserwartung der Hochrisikopatienten im Vergleich mit der altersentsprechenden Bevölkerung deutlich eingeschränkt ist, besteht prinzipiell die Indikation zu einer Therapie, die</w:t>
      </w:r>
      <w:r>
        <w:t xml:space="preserve"> auf eine Verlängerung der Lebenszeit abzielt. Neben der supportiven Therapie sollte, abhängig vom Krankheitsrisiko und von den Begleiterkrankungen, ab Diagnosestellung eine Behandlungsoption für jeden einzelnen Patienten in Betracht gezogen werden.</w:t>
      </w:r>
    </w:p>
    <w:p w:rsidR="00C02512" w:rsidRDefault="001D4B06">
      <w:pPr>
        <w:pStyle w:val="berschrift4"/>
      </w:pPr>
      <w:bookmarkStart w:id="459" w:name="ID0EEPBI"/>
      <w:bookmarkEnd w:id="459"/>
      <w:r>
        <w:t>Intens</w:t>
      </w:r>
      <w:r>
        <w:t>ive Chemotherapie</w:t>
      </w:r>
    </w:p>
    <w:p w:rsidR="00C02512" w:rsidRDefault="001D4B06">
      <w:bookmarkStart w:id="460" w:name="ID0EKPBI"/>
      <w:bookmarkEnd w:id="460"/>
      <w:r>
        <w:t>Die intensive Chemotherapie, analog der Behandlung einer AML, ist keine etablierte Therapieoption für Hochrisiko-MDS-Patienten. Ob eine intensive Chemotherapie im Einzelfall sinnvoll ist (z. B. zur Remissionsinduktion vor geplanter alloge</w:t>
      </w:r>
      <w:r>
        <w:t>ner Stammzelltransplantation), kann nur individuell unter Berücksichtigung des Nutzen-Risikoverhältnisses entschieden werden. Sicher ist, dass Patienten mit ungünstigem Karoytyp nicht von einer Induktionschemotherapie profitieren, sofern ihr nicht unmittel</w:t>
      </w:r>
      <w:r>
        <w:t>bar eine allogene Stammzelltransplantation folgt.</w:t>
      </w:r>
      <w:bookmarkStart w:id="461" w:name="_GoBack"/>
      <w:bookmarkEnd w:id="461"/>
    </w:p>
    <w:p w:rsidR="00C02512" w:rsidRDefault="001D4B06">
      <w:pPr>
        <w:pStyle w:val="berschrift4"/>
      </w:pPr>
      <w:bookmarkStart w:id="462" w:name="ID0EPPBI"/>
      <w:bookmarkEnd w:id="462"/>
      <w:r>
        <w:t>Epigenetische Therapie</w:t>
      </w:r>
    </w:p>
    <w:p w:rsidR="00C02512" w:rsidRDefault="001D4B06">
      <w:bookmarkStart w:id="463" w:name="ID0EVPBI"/>
      <w:bookmarkEnd w:id="463"/>
      <w:r>
        <w:t xml:space="preserve">Azacitidin ist ein Pyrimidin-Analogon, das anstelle von Cytosin in die DNA eingebaut wird. Diese Substanz hat eine direkte zytotoxische Wirkung auf proliferierende Zellen. Zusätzlich </w:t>
      </w:r>
      <w:r>
        <w:t>verhindert sie die Methylierung von CPG-Abschnitten (sog. CPG-Inseln) in der DNA, indem sie das Enzym DNA-Methyltransferase (DNMT) irreversibel bindet und damit hemmt.</w:t>
      </w:r>
    </w:p>
    <w:p w:rsidR="00C02512" w:rsidRDefault="001D4B06">
      <w:bookmarkStart w:id="464" w:name="ID0EYPBI"/>
      <w:bookmarkEnd w:id="464"/>
      <w:r>
        <w:t>Azacitidin ist in mehreren Phase II und randomisierten Phase III Studien geprüft worden.</w:t>
      </w:r>
      <w:r>
        <w:t xml:space="preserve"> Eine Behandlung mit Azacitidin bei Patienten mit MDS konnte in zwei unabhängigen randomisierten Studien einen Vorteil gegenüber einer alleinigen Supportivtherapie aufweisen </w:t>
      </w:r>
      <w:r>
        <w:rPr>
          <w:rStyle w:val="Literaturverweis"/>
        </w:rPr>
        <w:t>[</w:t>
      </w:r>
      <w:hyperlink w:anchor="litID0ES3BI" w:history="1">
        <w:r>
          <w:rPr>
            <w:rStyle w:val="Literaturverweis"/>
          </w:rPr>
          <w:t>22</w:t>
        </w:r>
      </w:hyperlink>
      <w:r>
        <w:rPr>
          <w:rStyle w:val="Literaturverweis"/>
        </w:rPr>
        <w:t>,</w:t>
      </w:r>
      <w:hyperlink w:anchor="litID0E33BI" w:history="1">
        <w:r>
          <w:rPr>
            <w:rStyle w:val="Literaturverweis"/>
          </w:rPr>
          <w:t>23</w:t>
        </w:r>
      </w:hyperlink>
      <w:r>
        <w:rPr>
          <w:rStyle w:val="Literaturverweis"/>
        </w:rPr>
        <w:t>]</w:t>
      </w:r>
      <w:r>
        <w:t>. Dieser Vorteil drückt sich in beiden Studien in einem absoluten Unterschied im Gesamtüberleben von 6-9 Monaten aus, und war in der zweiten randomisierten Studie (AZA-001 Studie) mit der weitaus größeren Fallzahl auch statistisch signifikant. Die Behandlu</w:t>
      </w:r>
      <w:r>
        <w:t>ng mit Azacitidin war in dieser Studie gegenüber einer Standardtherapie mit alleiniger Supportivbehandlung oder mit niedrig dosiertem Ara-C (low-dose Ara-C, LDAC) oder intensiver anthrazyklin-</w:t>
      </w:r>
      <w:r>
        <w:lastRenderedPageBreak/>
        <w:t>basierter Chemotherapie in Bezug auf medianes Überleben, Transfu</w:t>
      </w:r>
      <w:r>
        <w:t>sionsfreiheit und Verbesserung der peripheren Blutwerte überlegen.</w:t>
      </w:r>
    </w:p>
    <w:p w:rsidR="00C02512" w:rsidRDefault="001D4B06">
      <w:pPr>
        <w:pStyle w:val="Listeneinfhrung"/>
      </w:pPr>
      <w:bookmarkStart w:id="465" w:name="ID0EDQBI"/>
      <w:bookmarkEnd w:id="465"/>
      <w:r>
        <w:t xml:space="preserve">Patienten mit </w:t>
      </w:r>
    </w:p>
    <w:p w:rsidR="00C02512" w:rsidRDefault="001D4B06">
      <w:pPr>
        <w:pStyle w:val="Liste1"/>
        <w:numPr>
          <w:ilvl w:val="0"/>
          <w:numId w:val="29"/>
        </w:numPr>
      </w:pPr>
      <w:bookmarkStart w:id="466" w:name="ID0EJQBI"/>
      <w:bookmarkEnd w:id="466"/>
      <w:r>
        <w:t xml:space="preserve">IPSS INT-2/HIGH </w:t>
      </w:r>
    </w:p>
    <w:p w:rsidR="00C02512" w:rsidRDefault="001D4B06">
      <w:pPr>
        <w:pStyle w:val="Liste1"/>
        <w:numPr>
          <w:ilvl w:val="0"/>
          <w:numId w:val="29"/>
        </w:numPr>
      </w:pPr>
      <w:bookmarkStart w:id="467" w:name="ID0EOQBI"/>
      <w:bookmarkEnd w:id="467"/>
      <w:r>
        <w:t xml:space="preserve">CMML mit &lt; 13.000 /µl Leukozyten (dysplastische Variante) und IPSS INT-2/HIGH </w:t>
      </w:r>
    </w:p>
    <w:p w:rsidR="00C02512" w:rsidRDefault="001D4B06">
      <w:pPr>
        <w:pStyle w:val="Liste1"/>
        <w:numPr>
          <w:ilvl w:val="0"/>
          <w:numId w:val="29"/>
        </w:numPr>
      </w:pPr>
      <w:bookmarkStart w:id="468" w:name="ID0ETQBI"/>
      <w:bookmarkEnd w:id="468"/>
      <w:r>
        <w:t>AML nach WHO mit multilineärer Dysplasie und bis zu 30 % Blasten im Knochenmark</w:t>
      </w:r>
    </w:p>
    <w:p w:rsidR="00C02512" w:rsidRDefault="001D4B06">
      <w:bookmarkStart w:id="469" w:name="ID0EXQBI"/>
      <w:bookmarkEnd w:id="469"/>
      <w:r>
        <w:t xml:space="preserve">können mit Azacitidin behandelt werden, wenn sie nicht für eine allogene Stammzelltransplantation in Frage kommen (Evidenzstärke Ib, Empfehlungsgrad A). Das Standardschema </w:t>
      </w:r>
      <w:r>
        <w:rPr>
          <w:i/>
        </w:rPr>
        <w:t>AZA-</w:t>
      </w:r>
      <w:r>
        <w:rPr>
          <w:i/>
        </w:rPr>
        <w:t>7</w:t>
      </w:r>
      <w:r>
        <w:t xml:space="preserve"> wird in der Dosierung von 75 mg/m</w:t>
      </w:r>
      <w:r>
        <w:rPr>
          <w:vertAlign w:val="superscript"/>
        </w:rPr>
        <w:t>2</w:t>
      </w:r>
      <w:r>
        <w:t xml:space="preserve"> an 7 Tagen subkutan oder i.v. verabreicht. Die Zyklen werden in 28-tägigen Abständen wiederholt. Da der Effekt der epigenetischen Modulation erst langsam eintritt, sollten mindestens 6 Zyklen Azacitidin verabreicht werd</w:t>
      </w:r>
      <w:r>
        <w:t>en, bevor eine Beurteilung des Ansprechens vorgenommen wird. Etwa die Hälfte der Patienten erreicht ein Ansprechen im Sinne einer Verbesserung der peripheren Blutwerte oder einer Remission im Knochenmark. Bei Ansprechen (mindestens Verbesserung der periphe</w:t>
      </w:r>
      <w:r>
        <w:t>ren Blutwerte) sollte die Therapie bis zum Verlust des Ansprechens fortgeführt werden. Es ist davon auszugehen, dass Patienten, die ansprechen, auch von der Fortführung der Therapie profitieren.</w:t>
      </w:r>
    </w:p>
    <w:p w:rsidR="00C02512" w:rsidRDefault="001D4B06">
      <w:bookmarkStart w:id="470" w:name="ID0E5QBI"/>
      <w:bookmarkEnd w:id="470"/>
      <w:r>
        <w:t>Im Verlauf der Therapie kommt es zumeist zu einem Verlust des</w:t>
      </w:r>
      <w:r>
        <w:t xml:space="preserve"> Ansprechens. Denkbar ist dann der Einsatz von Decitabin, einer weiteren demethylierenden Substanz </w:t>
      </w:r>
      <w:r>
        <w:rPr>
          <w:rStyle w:val="Literaturverweis"/>
        </w:rPr>
        <w:t>[</w:t>
      </w:r>
      <w:hyperlink w:anchor="litID0EG4BI" w:history="1">
        <w:r>
          <w:rPr>
            <w:rStyle w:val="Literaturverweis"/>
          </w:rPr>
          <w:t>24</w:t>
        </w:r>
      </w:hyperlink>
      <w:r>
        <w:rPr>
          <w:rStyle w:val="Literaturverweis"/>
        </w:rPr>
        <w:t>]</w:t>
      </w:r>
      <w:r>
        <w:t>. Patienten mit Resistenzentwicklung gegen Azacitidin sollten vorzugsweise in klinische Studien eingeschlossen werden, ins</w:t>
      </w:r>
      <w:r>
        <w:t xml:space="preserve">besondere auch, um prädiktive Risikofaktoren zu definieren </w:t>
      </w:r>
      <w:r>
        <w:rPr>
          <w:rStyle w:val="Literaturverweis"/>
        </w:rPr>
        <w:t>[</w:t>
      </w:r>
      <w:hyperlink w:anchor="litID0EQ4BI" w:history="1">
        <w:r>
          <w:rPr>
            <w:rStyle w:val="Literaturverweis"/>
          </w:rPr>
          <w:t>25</w:t>
        </w:r>
      </w:hyperlink>
      <w:r>
        <w:rPr>
          <w:rStyle w:val="Literaturverweis"/>
        </w:rPr>
        <w:t>]</w:t>
      </w:r>
      <w:r>
        <w:t>.</w:t>
      </w:r>
    </w:p>
    <w:p w:rsidR="00C02512" w:rsidRDefault="001D4B06">
      <w:pPr>
        <w:pStyle w:val="berschrift4"/>
      </w:pPr>
      <w:bookmarkStart w:id="471" w:name="ID0EORBI"/>
      <w:bookmarkEnd w:id="471"/>
      <w:r>
        <w:t>Nicht-intensive Chemotherapie</w:t>
      </w:r>
    </w:p>
    <w:p w:rsidR="00C02512" w:rsidRDefault="001D4B06">
      <w:bookmarkStart w:id="472" w:name="ID0EURBI"/>
      <w:bookmarkEnd w:id="472"/>
      <w:r>
        <w:t>Nicht-intensive Chemotherapie, wie niedrig dosiertes Cytarabin (20 mg/m²/d Tag 1-14) oder niedrig dosiertes Melphalan (2 mg/d) wur</w:t>
      </w:r>
      <w:r>
        <w:t>de in der Vergangenheit in Ermangelung besserer Alternativen bei Patienten mit fortgeschrittenem MDS eingesetzt bzw. in kleinen, zumeist Phase II Studien, geprüft. Mit der Verfügbarkeit demethylierender Substanzen rückt in Zukunft die Bedeutung nicht inten</w:t>
      </w:r>
      <w:r>
        <w:t>siver Chemotherapie zur primären Therapie des Hochrisiko-MDS in den Hintergrund. Dennoch kann eine solche Behandlung nach Ausschöpfung anderer Optionen, wie der epigenetischen Therapie, durchaus im Einzelfall eine sinnvolle Alternative darstellen (Evidenzs</w:t>
      </w:r>
      <w:r>
        <w:t>tärke IIa, Empfehlungsgrad B), insbesondere, wenn eine Zytoreduktion aufgrund hoher Leukozytenzahlen im Blut erforderlich ist.</w:t>
      </w:r>
    </w:p>
    <w:p w:rsidR="00C02512" w:rsidRDefault="001D4B06">
      <w:pPr>
        <w:pStyle w:val="berschrift4"/>
      </w:pPr>
      <w:bookmarkStart w:id="473" w:name="ID0EZRBI"/>
      <w:bookmarkEnd w:id="473"/>
      <w:r>
        <w:t>Allogene Stammzelltransplantation</w:t>
      </w:r>
    </w:p>
    <w:p w:rsidR="00C02512" w:rsidRDefault="001D4B06">
      <w:bookmarkStart w:id="474" w:name="ID0E6RBI"/>
      <w:bookmarkEnd w:id="474"/>
      <w:r>
        <w:t>Die allogene Stammzelltransplantation stellt das bisher einzige potentiell kurative Verfahren i</w:t>
      </w:r>
      <w:r>
        <w:t>n der Behandlung der MDS dar. Mit der Verbesserung supportiver Maßnahmen bzw. einer Reduktion der Intensität der Konditionierung ist es in den vergangenen Jahren gelungen, die Indikation auch auf Patienten im Alter von über 70 Jahren zu erweitern. Trotzdem</w:t>
      </w:r>
      <w:r>
        <w:t xml:space="preserve"> bleibt dieses Verfahren immer ein individuelles Vorgehen, insbesondere bei Patienten &gt; 65 Jahre. Jeder geeignete MDS-Patient sollte deshalb bei Diagnosestellung in einem Transplantationszentrum vorgestellt werden (Evidenzstärke IV, Empfehlungsgrad D) </w:t>
      </w:r>
      <w:r>
        <w:rPr>
          <w:rStyle w:val="Literaturverweis"/>
        </w:rPr>
        <w:t>[</w:t>
      </w:r>
      <w:hyperlink w:anchor="litID0EH5BI" w:history="1">
        <w:r>
          <w:rPr>
            <w:rStyle w:val="Literaturverweis"/>
          </w:rPr>
          <w:t>27</w:t>
        </w:r>
      </w:hyperlink>
      <w:r>
        <w:rPr>
          <w:rStyle w:val="Literaturverweis"/>
        </w:rPr>
        <w:t>]</w:t>
      </w:r>
      <w:r>
        <w:t>.</w:t>
      </w:r>
    </w:p>
    <w:p w:rsidR="00C02512" w:rsidRDefault="001D4B06">
      <w:pPr>
        <w:pStyle w:val="berschrift1"/>
      </w:pPr>
      <w:bookmarkStart w:id="475" w:name="ID0EKSBI"/>
      <w:bookmarkEnd w:id="475"/>
      <w:r>
        <w:t>Rehabilitation</w:t>
      </w:r>
    </w:p>
    <w:p w:rsidR="00C02512" w:rsidRDefault="001D4B06">
      <w:pPr>
        <w:pStyle w:val="berschrift1"/>
      </w:pPr>
      <w:bookmarkStart w:id="476" w:name="ID0EQSBI"/>
      <w:bookmarkEnd w:id="476"/>
      <w:r>
        <w:t>Verlaufskontrolle und Nachsorge</w:t>
      </w:r>
    </w:p>
    <w:p w:rsidR="00C02512" w:rsidRDefault="001D4B06">
      <w:pPr>
        <w:pStyle w:val="berschrift1"/>
      </w:pPr>
      <w:bookmarkStart w:id="477" w:name="head-references"/>
      <w:bookmarkEnd w:id="477"/>
      <w:r>
        <w:t>Literatur</w:t>
      </w:r>
    </w:p>
    <w:p w:rsidR="00C02512" w:rsidRDefault="001D4B06">
      <w:pPr>
        <w:pStyle w:val="Literaturverzeichnis"/>
        <w:numPr>
          <w:ilvl w:val="0"/>
          <w:numId w:val="30"/>
        </w:numPr>
      </w:pPr>
      <w:bookmarkStart w:id="478" w:name="litID0EWVBI"/>
      <w:bookmarkEnd w:id="478"/>
      <w:r w:rsidRPr="001D4B06">
        <w:rPr>
          <w:lang w:val="en-US"/>
        </w:rPr>
        <w:t xml:space="preserve">Neukirchen J, Schoonen WM, Strupp C et al: Incidence and prevalence of myelodysplastic syndromes: data from the Düsseldorf MDS-registry. </w:t>
      </w:r>
      <w:r>
        <w:t xml:space="preserve">Leuk Res 35:1591-1596, 2011. </w:t>
      </w:r>
      <w:hyperlink r:id="rId12">
        <w:r>
          <w:rPr>
            <w:rStyle w:val="Hyperlink"/>
          </w:rPr>
          <w:t>DOI:10.1016/j.leukres.2012.04.006</w:t>
        </w:r>
      </w:hyperlink>
    </w:p>
    <w:p w:rsidR="00C02512" w:rsidRDefault="001D4B06">
      <w:pPr>
        <w:pStyle w:val="Literaturverzeichnis"/>
        <w:numPr>
          <w:ilvl w:val="0"/>
          <w:numId w:val="30"/>
        </w:numPr>
      </w:pPr>
      <w:bookmarkStart w:id="479" w:name="litID0EAWBI"/>
      <w:bookmarkEnd w:id="479"/>
      <w:r w:rsidRPr="001D4B06">
        <w:rPr>
          <w:lang w:val="en-US"/>
        </w:rPr>
        <w:t xml:space="preserve">Schanz J, Tüchler H, Solé F et al: New comprehensive cytogenetic scoring system for primary myelodysplastic syndromes (MDS) and oligoblastic acute myeloid </w:t>
      </w:r>
      <w:r w:rsidRPr="001D4B06">
        <w:rPr>
          <w:lang w:val="en-US"/>
        </w:rPr>
        <w:t xml:space="preserve">leukemia after MDS derived from an international database merge. </w:t>
      </w:r>
      <w:hyperlink r:id="rId13">
        <w:r>
          <w:rPr>
            <w:rStyle w:val="Hyperlink"/>
          </w:rPr>
          <w:t>J Clin Oncol</w:t>
        </w:r>
      </w:hyperlink>
      <w:r>
        <w:t xml:space="preserve"> 30:820-829, 2012. </w:t>
      </w:r>
      <w:hyperlink r:id="rId14">
        <w:r>
          <w:rPr>
            <w:rStyle w:val="Hyperlink"/>
          </w:rPr>
          <w:t>DOI:10.1200/JCO.2011.35.6394</w:t>
        </w:r>
      </w:hyperlink>
    </w:p>
    <w:p w:rsidR="00C02512" w:rsidRPr="001D4B06" w:rsidRDefault="001D4B06">
      <w:pPr>
        <w:pStyle w:val="Literaturverzeichnis"/>
        <w:numPr>
          <w:ilvl w:val="0"/>
          <w:numId w:val="30"/>
        </w:numPr>
        <w:rPr>
          <w:lang w:val="en-US"/>
        </w:rPr>
      </w:pPr>
      <w:bookmarkStart w:id="480" w:name="litID0EQWBI"/>
      <w:bookmarkEnd w:id="480"/>
      <w:r w:rsidRPr="001D4B06">
        <w:rPr>
          <w:lang w:val="en-US"/>
        </w:rPr>
        <w:t xml:space="preserve">Greenberg PL, Tuechler H, Schanz J et al: Revised international prognostic scoring system. Blood 120:2454-2465, 2012. </w:t>
      </w:r>
      <w:hyperlink r:id="rId15">
        <w:r w:rsidRPr="001D4B06">
          <w:rPr>
            <w:rStyle w:val="Hyperlink"/>
            <w:lang w:val="en-US"/>
          </w:rPr>
          <w:t>DOI:10.1182/blood-2012-03-420489</w:t>
        </w:r>
      </w:hyperlink>
    </w:p>
    <w:p w:rsidR="00C02512" w:rsidRPr="001D4B06" w:rsidRDefault="001D4B06">
      <w:pPr>
        <w:pStyle w:val="Literaturverzeichnis"/>
        <w:numPr>
          <w:ilvl w:val="0"/>
          <w:numId w:val="30"/>
        </w:numPr>
        <w:rPr>
          <w:lang w:val="en-US"/>
        </w:rPr>
      </w:pPr>
      <w:bookmarkStart w:id="481" w:name="litID0E1WBI"/>
      <w:bookmarkEnd w:id="481"/>
      <w:r w:rsidRPr="001D4B06">
        <w:rPr>
          <w:lang w:val="en-US"/>
        </w:rPr>
        <w:t>Hasserjian RP, Orazi A, Brunning RD, Ge</w:t>
      </w:r>
      <w:r w:rsidRPr="001D4B06">
        <w:rPr>
          <w:lang w:val="en-US"/>
        </w:rPr>
        <w:t>rming U, Le Beau MM, Porwit A, Baumann I, Hellstrom-Lindberg E, List A, Cazzola M, Foucar K: MDS overview.  In: WHO Classification of Haematopoietic and Lymphoid Tissue. IARC Press, 2016</w:t>
      </w:r>
    </w:p>
    <w:p w:rsidR="00C02512" w:rsidRPr="001D4B06" w:rsidRDefault="001D4B06">
      <w:pPr>
        <w:pStyle w:val="Literaturverzeichnis"/>
        <w:numPr>
          <w:ilvl w:val="0"/>
          <w:numId w:val="30"/>
        </w:numPr>
        <w:rPr>
          <w:lang w:val="en-US"/>
        </w:rPr>
      </w:pPr>
      <w:bookmarkStart w:id="482" w:name="litID0EBXBI"/>
      <w:bookmarkEnd w:id="482"/>
      <w:r w:rsidRPr="001D4B06">
        <w:rPr>
          <w:lang w:val="en-US"/>
        </w:rPr>
        <w:lastRenderedPageBreak/>
        <w:t>Orazi A, Bennett JM, Germing U, Brunning RD  Bain BJ, Thiele J: CMML.</w:t>
      </w:r>
      <w:r w:rsidRPr="001D4B06">
        <w:rPr>
          <w:lang w:val="en-US"/>
        </w:rPr>
        <w:t xml:space="preserve"> In: WHO Classification of Haematopoietic and Lymphoid Tissue. IARC Press, 2016</w:t>
      </w:r>
    </w:p>
    <w:p w:rsidR="00C02512" w:rsidRDefault="001D4B06">
      <w:pPr>
        <w:pStyle w:val="Literaturverzeichnis"/>
        <w:numPr>
          <w:ilvl w:val="0"/>
          <w:numId w:val="30"/>
        </w:numPr>
      </w:pPr>
      <w:bookmarkStart w:id="483" w:name="litID0EGXBI"/>
      <w:bookmarkEnd w:id="483"/>
      <w:r w:rsidRPr="001D4B06">
        <w:rPr>
          <w:lang w:val="en-US"/>
        </w:rPr>
        <w:t xml:space="preserve">M Buesche G, Teoman H, Wilczak W et al: Marrow fibrosis predicts early fatal marrow failure in patients with myelodysplastic syndromes. </w:t>
      </w:r>
      <w:hyperlink r:id="rId16">
        <w:r>
          <w:rPr>
            <w:rStyle w:val="Hyperlink"/>
          </w:rPr>
          <w:t xml:space="preserve">Leukemia </w:t>
        </w:r>
      </w:hyperlink>
      <w:r>
        <w:t xml:space="preserve">22:313-322, 2008. </w:t>
      </w:r>
      <w:hyperlink r:id="rId17">
        <w:r>
          <w:rPr>
            <w:rStyle w:val="Hyperlink"/>
          </w:rPr>
          <w:t>DOI:10.1038/sj.leu.2405030</w:t>
        </w:r>
      </w:hyperlink>
    </w:p>
    <w:p w:rsidR="00C02512" w:rsidRDefault="001D4B06">
      <w:pPr>
        <w:pStyle w:val="Literaturverzeichnis"/>
        <w:numPr>
          <w:ilvl w:val="0"/>
          <w:numId w:val="30"/>
        </w:numPr>
      </w:pPr>
      <w:bookmarkStart w:id="484" w:name="litID0EWXBI"/>
      <w:bookmarkEnd w:id="484"/>
      <w:r w:rsidRPr="001D4B06">
        <w:rPr>
          <w:lang w:val="en-US"/>
        </w:rPr>
        <w:t xml:space="preserve">Bejar R, Stevenson K, Abdel-Wahab O et al: Clinical effect of point mutations in myelodysplastic syndromes. </w:t>
      </w:r>
      <w:hyperlink r:id="rId18">
        <w:r>
          <w:rPr>
            <w:rStyle w:val="Hyperlink"/>
          </w:rPr>
          <w:t>N Engl J Med</w:t>
        </w:r>
      </w:hyperlink>
      <w:r>
        <w:t xml:space="preserve"> 364:2496-2506, 2011. </w:t>
      </w:r>
      <w:hyperlink r:id="rId19">
        <w:r>
          <w:rPr>
            <w:rStyle w:val="Hyperlink"/>
          </w:rPr>
          <w:t>DOI:10.1056/NEJMoa1013343</w:t>
        </w:r>
      </w:hyperlink>
    </w:p>
    <w:p w:rsidR="00C02512" w:rsidRDefault="001D4B06">
      <w:pPr>
        <w:pStyle w:val="Literaturverzeichnis"/>
        <w:numPr>
          <w:ilvl w:val="0"/>
          <w:numId w:val="30"/>
        </w:numPr>
      </w:pPr>
      <w:bookmarkStart w:id="485" w:name="litID0EGYBI"/>
      <w:bookmarkEnd w:id="485"/>
      <w:r w:rsidRPr="001D4B06">
        <w:rPr>
          <w:lang w:val="en-US"/>
        </w:rPr>
        <w:t xml:space="preserve">Greenberg P, Cox C, LeBeau MM et al: International scoring system for </w:t>
      </w:r>
      <w:r w:rsidRPr="001D4B06">
        <w:rPr>
          <w:lang w:val="en-US"/>
        </w:rPr>
        <w:t xml:space="preserve">evaluating prognosis in myelodysplastic syndromes. </w:t>
      </w:r>
      <w:r>
        <w:t xml:space="preserve">Blood 89:2079-2088, 1997. </w:t>
      </w:r>
      <w:hyperlink r:id="rId20">
        <w:r>
          <w:rPr>
            <w:rStyle w:val="Hyperlink"/>
          </w:rPr>
          <w:t>PMID:9058730</w:t>
        </w:r>
      </w:hyperlink>
    </w:p>
    <w:p w:rsidR="00C02512" w:rsidRDefault="001D4B06">
      <w:pPr>
        <w:pStyle w:val="Literaturverzeichnis"/>
        <w:numPr>
          <w:ilvl w:val="0"/>
          <w:numId w:val="30"/>
        </w:numPr>
      </w:pPr>
      <w:bookmarkStart w:id="486" w:name="litID0EQYBI"/>
      <w:bookmarkEnd w:id="486"/>
      <w:r w:rsidRPr="001D4B06">
        <w:rPr>
          <w:lang w:val="en-US"/>
        </w:rPr>
        <w:t xml:space="preserve">Germing U, Hildebrandt B, Pfeilstöcker M et al: Refinement of the international prognostic scoring </w:t>
      </w:r>
      <w:r w:rsidRPr="001D4B06">
        <w:rPr>
          <w:lang w:val="en-US"/>
        </w:rPr>
        <w:t xml:space="preserve">system (IPSS) by including LDH as an additional prognostic variable to improve risk assessment in patients with primary myelodysplastic syndromes (MDS). </w:t>
      </w:r>
      <w:r>
        <w:t xml:space="preserve">Leukemia 19:2223-2231, 2005. </w:t>
      </w:r>
      <w:hyperlink r:id="rId21">
        <w:r>
          <w:rPr>
            <w:rStyle w:val="Hyperlink"/>
          </w:rPr>
          <w:t>DOI:10.1038/sj</w:t>
        </w:r>
        <w:r>
          <w:rPr>
            <w:rStyle w:val="Hyperlink"/>
          </w:rPr>
          <w:t>.leu.2403963</w:t>
        </w:r>
      </w:hyperlink>
    </w:p>
    <w:p w:rsidR="00C02512" w:rsidRDefault="001D4B06">
      <w:pPr>
        <w:pStyle w:val="Literaturverzeichnis"/>
        <w:numPr>
          <w:ilvl w:val="0"/>
          <w:numId w:val="30"/>
        </w:numPr>
      </w:pPr>
      <w:bookmarkStart w:id="487" w:name="litID0E1YBI"/>
      <w:bookmarkEnd w:id="487"/>
      <w:r w:rsidRPr="001D4B06">
        <w:rPr>
          <w:lang w:val="en-US"/>
        </w:rPr>
        <w:t xml:space="preserve">Malcovati L, Hellström-Lindberg E, Bowen D et al: Diagnosis and treatment of primary myelodysplastic syndromes in adults: recommendations from the European LeukemiaNet. </w:t>
      </w:r>
      <w:r>
        <w:t xml:space="preserve">Blood 122:2943-2964, 2013. </w:t>
      </w:r>
      <w:hyperlink r:id="rId22">
        <w:r>
          <w:rPr>
            <w:rStyle w:val="Hyperlink"/>
          </w:rPr>
          <w:t>DOI:10.1182/blood-2013-03-492884</w:t>
        </w:r>
      </w:hyperlink>
    </w:p>
    <w:p w:rsidR="00C02512" w:rsidRDefault="001D4B06">
      <w:pPr>
        <w:pStyle w:val="Literaturverzeichnis"/>
        <w:numPr>
          <w:ilvl w:val="0"/>
          <w:numId w:val="30"/>
        </w:numPr>
      </w:pPr>
      <w:bookmarkStart w:id="488" w:name="litID0EEZBI"/>
      <w:bookmarkEnd w:id="488"/>
      <w:r w:rsidRPr="001D4B06">
        <w:rPr>
          <w:lang w:val="en-US"/>
        </w:rPr>
        <w:t>Nolte F, Höchsmann B, Giagounidis A et al: Results from a 1-year, open-label, single arm, multi-center trial evaluating the efficacy and safety of oral Deferasirox in patients diagnosed with low and int-1</w:t>
      </w:r>
      <w:r w:rsidRPr="001D4B06">
        <w:rPr>
          <w:lang w:val="en-US"/>
        </w:rPr>
        <w:t xml:space="preserve"> risk myelodysplastic syndrome (MDS) and transfusion-dependent iron overload. </w:t>
      </w:r>
      <w:r>
        <w:t xml:space="preserve">Ann Hematol. 92:191-198, 2013. </w:t>
      </w:r>
      <w:hyperlink r:id="rId23">
        <w:r>
          <w:rPr>
            <w:rStyle w:val="Hyperlink"/>
          </w:rPr>
          <w:t>DOI:10.1007/s00277-012-1594-z</w:t>
        </w:r>
      </w:hyperlink>
    </w:p>
    <w:p w:rsidR="00C02512" w:rsidRDefault="001D4B06">
      <w:pPr>
        <w:pStyle w:val="Literaturverzeichnis"/>
        <w:numPr>
          <w:ilvl w:val="0"/>
          <w:numId w:val="30"/>
        </w:numPr>
      </w:pPr>
      <w:bookmarkStart w:id="489" w:name="litID0EOZBI"/>
      <w:bookmarkEnd w:id="489"/>
      <w:r w:rsidRPr="001D4B06">
        <w:rPr>
          <w:lang w:val="en-US"/>
        </w:rPr>
        <w:t>Rose C, Brechignac S, Vassilief D et al: Does iron che</w:t>
      </w:r>
      <w:r w:rsidRPr="001D4B06">
        <w:rPr>
          <w:lang w:val="en-US"/>
        </w:rPr>
        <w:t xml:space="preserve">lation therapy improve survival in regularly transfused lower risk MDS patients? A multicenter study by the GFM (Groupe Francophone des Myélodysplasies). </w:t>
      </w:r>
      <w:r>
        <w:t xml:space="preserve">Leuk Res 34:864-870, 2010. </w:t>
      </w:r>
      <w:hyperlink r:id="rId24">
        <w:r>
          <w:rPr>
            <w:rStyle w:val="Hyperlink"/>
          </w:rPr>
          <w:t>DOI:10.1</w:t>
        </w:r>
        <w:r>
          <w:rPr>
            <w:rStyle w:val="Hyperlink"/>
          </w:rPr>
          <w:t>016/j.leukres.2009.12.004</w:t>
        </w:r>
      </w:hyperlink>
    </w:p>
    <w:p w:rsidR="00C02512" w:rsidRDefault="001D4B06">
      <w:pPr>
        <w:pStyle w:val="Literaturverzeichnis"/>
        <w:numPr>
          <w:ilvl w:val="0"/>
          <w:numId w:val="30"/>
        </w:numPr>
      </w:pPr>
      <w:bookmarkStart w:id="490" w:name="litID0EYZBI"/>
      <w:bookmarkEnd w:id="490"/>
      <w:r w:rsidRPr="001D4B06">
        <w:rPr>
          <w:lang w:val="en-US"/>
        </w:rPr>
        <w:t xml:space="preserve">Gattermann N, Finelli C, Porta MD et al: Deferasirox in iron-overloaded patients with transfusion-dependent myelodysplastic syndromes: Results from the large 1-year EPIC study. </w:t>
      </w:r>
      <w:r>
        <w:t xml:space="preserve">Leuk Res 34:1143-1150, 2010. </w:t>
      </w:r>
      <w:hyperlink r:id="rId25">
        <w:r>
          <w:rPr>
            <w:rStyle w:val="Hyperlink"/>
          </w:rPr>
          <w:t>DOI:10.1016/j.leukres.2010.03.009</w:t>
        </w:r>
      </w:hyperlink>
    </w:p>
    <w:p w:rsidR="00C02512" w:rsidRDefault="001D4B06">
      <w:pPr>
        <w:pStyle w:val="Literaturverzeichnis"/>
        <w:numPr>
          <w:ilvl w:val="0"/>
          <w:numId w:val="30"/>
        </w:numPr>
      </w:pPr>
      <w:bookmarkStart w:id="491" w:name="litID0EC1BI"/>
      <w:bookmarkEnd w:id="491"/>
      <w:r w:rsidRPr="001D4B06">
        <w:rPr>
          <w:lang w:val="en-US"/>
        </w:rPr>
        <w:t xml:space="preserve">List AF, Baer MR, Steensma DP et al: Deferasirox reduces serum ferritin and labile plasma iron in RBC transfusion-dependent patients with myelodysplastic syndrome. </w:t>
      </w:r>
      <w:r>
        <w:t>J Clin Oncol 30</w:t>
      </w:r>
      <w:r>
        <w:t xml:space="preserve">:2134-2139, 2012. </w:t>
      </w:r>
      <w:hyperlink r:id="rId26">
        <w:r>
          <w:rPr>
            <w:rStyle w:val="Hyperlink"/>
          </w:rPr>
          <w:t>DOI:10.1200/JCO.2010.34.122</w:t>
        </w:r>
      </w:hyperlink>
    </w:p>
    <w:p w:rsidR="00C02512" w:rsidRDefault="001D4B06">
      <w:pPr>
        <w:pStyle w:val="Literaturverzeichnis"/>
        <w:numPr>
          <w:ilvl w:val="0"/>
          <w:numId w:val="30"/>
        </w:numPr>
      </w:pPr>
      <w:bookmarkStart w:id="492" w:name="litID0EM1BI"/>
      <w:bookmarkEnd w:id="492"/>
      <w:r w:rsidRPr="001D4B06">
        <w:rPr>
          <w:lang w:val="en-US"/>
        </w:rPr>
        <w:t>Hellström-Lindberg E, Negrin R, Stein R et al: Erythroid response to treatment with G-CSF plus erythropoietin for the anaemia of patients with myelod</w:t>
      </w:r>
      <w:r w:rsidRPr="001D4B06">
        <w:rPr>
          <w:lang w:val="en-US"/>
        </w:rPr>
        <w:t xml:space="preserve">ysplastic syndromes: proposal for a predictive model. </w:t>
      </w:r>
      <w:r>
        <w:t xml:space="preserve">Br J Haematol 99:344-351, 1997. </w:t>
      </w:r>
      <w:hyperlink r:id="rId27">
        <w:r>
          <w:rPr>
            <w:rStyle w:val="Hyperlink"/>
          </w:rPr>
          <w:t>DOI:10.1046/j.1365-2141.1997.4013211.x</w:t>
        </w:r>
      </w:hyperlink>
    </w:p>
    <w:p w:rsidR="00C02512" w:rsidRDefault="001D4B06">
      <w:pPr>
        <w:pStyle w:val="Literaturverzeichnis"/>
        <w:numPr>
          <w:ilvl w:val="0"/>
          <w:numId w:val="30"/>
        </w:numPr>
      </w:pPr>
      <w:bookmarkStart w:id="493" w:name="litID0EW1BI"/>
      <w:bookmarkEnd w:id="493"/>
      <w:r w:rsidRPr="001D4B06">
        <w:rPr>
          <w:lang w:val="en-US"/>
        </w:rPr>
        <w:t>Greenberg PL, Sun Z, Miller KB et al: Treatment of myelodys</w:t>
      </w:r>
      <w:r w:rsidRPr="001D4B06">
        <w:rPr>
          <w:lang w:val="en-US"/>
        </w:rPr>
        <w:t xml:space="preserve">plastic syndrome patients with erythropoietin with or without granulocyte colony-stimulating factor: results of a prospective randomized phase 3 trial by the Eastern Cooperative Oncology Group (E1996). </w:t>
      </w:r>
      <w:r>
        <w:t xml:space="preserve">Blood 114:2393-2400, 2009. </w:t>
      </w:r>
      <w:hyperlink r:id="rId28">
        <w:r>
          <w:rPr>
            <w:rStyle w:val="Hyperlink"/>
          </w:rPr>
          <w:t>DOI:10.1182/blood-2009-03-211797</w:t>
        </w:r>
      </w:hyperlink>
    </w:p>
    <w:p w:rsidR="00C02512" w:rsidRDefault="001D4B06">
      <w:pPr>
        <w:pStyle w:val="Literaturverzeichnis"/>
        <w:numPr>
          <w:ilvl w:val="0"/>
          <w:numId w:val="30"/>
        </w:numPr>
      </w:pPr>
      <w:bookmarkStart w:id="494" w:name="litID0EA2BI"/>
      <w:bookmarkEnd w:id="494"/>
      <w:r w:rsidRPr="001D4B06">
        <w:rPr>
          <w:lang w:val="en-US"/>
        </w:rPr>
        <w:t xml:space="preserve">Kuendgen A, Gattermann N: Valproic acid for the treatment of myeloid malignancies. </w:t>
      </w:r>
      <w:r>
        <w:t xml:space="preserve">Cancer 110:943-954, 2007. </w:t>
      </w:r>
      <w:hyperlink r:id="rId29">
        <w:r>
          <w:rPr>
            <w:rStyle w:val="Hyperlink"/>
          </w:rPr>
          <w:t>DOI:10.1002/cncr.22</w:t>
        </w:r>
        <w:r>
          <w:rPr>
            <w:rStyle w:val="Hyperlink"/>
          </w:rPr>
          <w:t>891</w:t>
        </w:r>
      </w:hyperlink>
    </w:p>
    <w:p w:rsidR="00C02512" w:rsidRDefault="001D4B06">
      <w:pPr>
        <w:pStyle w:val="Literaturverzeichnis"/>
        <w:numPr>
          <w:ilvl w:val="0"/>
          <w:numId w:val="30"/>
        </w:numPr>
      </w:pPr>
      <w:bookmarkStart w:id="495" w:name="litID0EK2BI"/>
      <w:bookmarkEnd w:id="495"/>
      <w:r w:rsidRPr="001D4B06">
        <w:rPr>
          <w:lang w:val="en-US"/>
        </w:rPr>
        <w:t xml:space="preserve">List A, Dewald G, Bennett J et al: Lenalidomide in the myelodysplastic syndrome with chromosome 5q deletion. </w:t>
      </w:r>
      <w:r>
        <w:t xml:space="preserve">N Engl J Med 355:1456-1465, 2006. </w:t>
      </w:r>
      <w:hyperlink r:id="rId30">
        <w:r>
          <w:rPr>
            <w:rStyle w:val="Hyperlink"/>
          </w:rPr>
          <w:t>DOI:10.1056/NEJMoa061292</w:t>
        </w:r>
      </w:hyperlink>
    </w:p>
    <w:p w:rsidR="00C02512" w:rsidRDefault="001D4B06">
      <w:pPr>
        <w:pStyle w:val="Literaturverzeichnis"/>
        <w:numPr>
          <w:ilvl w:val="0"/>
          <w:numId w:val="30"/>
        </w:numPr>
      </w:pPr>
      <w:bookmarkStart w:id="496" w:name="litID0EU2BI"/>
      <w:bookmarkEnd w:id="496"/>
      <w:r w:rsidRPr="001D4B06">
        <w:rPr>
          <w:lang w:val="en-US"/>
        </w:rPr>
        <w:t xml:space="preserve">Fenaux P, Giagounidis A, Selleslag D et al: A randomized phase 3 study of lenalidomide versus placebo in RBC transfusion-dependent patients with Low-/Intermediate-1-risk myelodysplastic syndromes with del5q. </w:t>
      </w:r>
      <w:r>
        <w:t xml:space="preserve">Blood 118:3765-3776, 2011. </w:t>
      </w:r>
      <w:hyperlink r:id="rId31">
        <w:r>
          <w:rPr>
            <w:rStyle w:val="Hyperlink"/>
          </w:rPr>
          <w:t>DOI:10.1182/blood-2011-01-330126</w:t>
        </w:r>
      </w:hyperlink>
    </w:p>
    <w:p w:rsidR="00C02512" w:rsidRDefault="001D4B06">
      <w:pPr>
        <w:pStyle w:val="Literaturverzeichnis"/>
        <w:numPr>
          <w:ilvl w:val="0"/>
          <w:numId w:val="30"/>
        </w:numPr>
      </w:pPr>
      <w:bookmarkStart w:id="497" w:name="litID0E52BI"/>
      <w:bookmarkEnd w:id="497"/>
      <w:r w:rsidRPr="001D4B06">
        <w:rPr>
          <w:lang w:val="en-US"/>
        </w:rPr>
        <w:t>Raza A, Reeves JA, Feldman EJ et al: Phase 2 study of lenalidomide in transfusion-dependent, low-risk, and intermediate-1 risk myelodysplastic syndromes with karyotypes other tha</w:t>
      </w:r>
      <w:r w:rsidRPr="001D4B06">
        <w:rPr>
          <w:lang w:val="en-US"/>
        </w:rPr>
        <w:t xml:space="preserve">n deletion 5q. </w:t>
      </w:r>
      <w:r>
        <w:t xml:space="preserve">Blood 111:86-93, 2008. </w:t>
      </w:r>
      <w:hyperlink r:id="rId32">
        <w:r>
          <w:rPr>
            <w:rStyle w:val="Hyperlink"/>
          </w:rPr>
          <w:t>DOI:10.1182/blood-2007-01-068833</w:t>
        </w:r>
      </w:hyperlink>
    </w:p>
    <w:p w:rsidR="00C02512" w:rsidRDefault="001D4B06">
      <w:pPr>
        <w:pStyle w:val="Literaturverzeichnis"/>
        <w:numPr>
          <w:ilvl w:val="0"/>
          <w:numId w:val="30"/>
        </w:numPr>
      </w:pPr>
      <w:bookmarkStart w:id="498" w:name="litID0EI3BI"/>
      <w:bookmarkEnd w:id="498"/>
      <w:r w:rsidRPr="001D4B06">
        <w:rPr>
          <w:lang w:val="en-US"/>
        </w:rPr>
        <w:t>Passweg JR, Giagounidis AA, Simcock M et al: Immunosuppressive therapy for patients with myelodysplastic syndrome: a pr</w:t>
      </w:r>
      <w:r w:rsidRPr="001D4B06">
        <w:rPr>
          <w:lang w:val="en-US"/>
        </w:rPr>
        <w:t xml:space="preserve">ospective randomized multicenter phase III trial comparing antithymocyte globulin plus cyclosporine with best supportive care--SAKK 33/99. </w:t>
      </w:r>
      <w:r>
        <w:t xml:space="preserve">J Clin Oncol 29:303-309, 2011. </w:t>
      </w:r>
      <w:hyperlink r:id="rId33">
        <w:r>
          <w:rPr>
            <w:rStyle w:val="Hyperlink"/>
          </w:rPr>
          <w:t>DOI:10.1200/JCO.2010.31.</w:t>
        </w:r>
        <w:r>
          <w:rPr>
            <w:rStyle w:val="Hyperlink"/>
          </w:rPr>
          <w:t>2686</w:t>
        </w:r>
      </w:hyperlink>
    </w:p>
    <w:p w:rsidR="00C02512" w:rsidRDefault="001D4B06">
      <w:pPr>
        <w:pStyle w:val="Literaturverzeichnis"/>
        <w:numPr>
          <w:ilvl w:val="0"/>
          <w:numId w:val="30"/>
        </w:numPr>
      </w:pPr>
      <w:bookmarkStart w:id="499" w:name="litID0ES3BI"/>
      <w:bookmarkEnd w:id="499"/>
      <w:r w:rsidRPr="001D4B06">
        <w:rPr>
          <w:lang w:val="en-US"/>
        </w:rPr>
        <w:t xml:space="preserve">Silverman LR, Demakos EP, Peterson BL et al: Randomized controlled trial of azacitidine in patients with the myelodysplastic syndrome: a study of the cancer and leukemia group B. J Clin Oncol 20:2429-2440, 2002. </w:t>
      </w:r>
      <w:hyperlink r:id="rId34">
        <w:r>
          <w:rPr>
            <w:rStyle w:val="Hyperlink"/>
          </w:rPr>
          <w:t>DOI:10.1200/JCO.2002.04.117</w:t>
        </w:r>
      </w:hyperlink>
    </w:p>
    <w:p w:rsidR="00C02512" w:rsidRDefault="001D4B06">
      <w:pPr>
        <w:pStyle w:val="Literaturverzeichnis"/>
        <w:numPr>
          <w:ilvl w:val="0"/>
          <w:numId w:val="30"/>
        </w:numPr>
      </w:pPr>
      <w:bookmarkStart w:id="500" w:name="litID0E33BI"/>
      <w:bookmarkEnd w:id="500"/>
      <w:r w:rsidRPr="001D4B06">
        <w:rPr>
          <w:lang w:val="en-US"/>
        </w:rPr>
        <w:lastRenderedPageBreak/>
        <w:t xml:space="preserve">Fenaux P, Mufti GJ, Hellstrom-Lindberg E et al: Efficacy of azacitidine compared with that of conventional care regimens in the treatment of higher-risk myelodysplastic </w:t>
      </w:r>
      <w:r w:rsidRPr="001D4B06">
        <w:rPr>
          <w:lang w:val="en-US"/>
        </w:rPr>
        <w:t xml:space="preserve">syndromes: a randomised, open-label, phase III study. </w:t>
      </w:r>
      <w:r>
        <w:t xml:space="preserve">Lancet Oncol 10:223-232, 2009. </w:t>
      </w:r>
      <w:hyperlink r:id="rId35">
        <w:r>
          <w:rPr>
            <w:rStyle w:val="Hyperlink"/>
          </w:rPr>
          <w:t>DOI:10.1016/S1470-2045(09)70003-8</w:t>
        </w:r>
      </w:hyperlink>
    </w:p>
    <w:p w:rsidR="00C02512" w:rsidRDefault="001D4B06">
      <w:pPr>
        <w:pStyle w:val="Literaturverzeichnis"/>
        <w:numPr>
          <w:ilvl w:val="0"/>
          <w:numId w:val="30"/>
        </w:numPr>
      </w:pPr>
      <w:bookmarkStart w:id="501" w:name="litID0EG4BI"/>
      <w:bookmarkEnd w:id="501"/>
      <w:r w:rsidRPr="001D4B06">
        <w:rPr>
          <w:lang w:val="en-US"/>
        </w:rPr>
        <w:t>Lübbert M, Suciu S, Baila L et al: Low-dose decitabine versus best sup</w:t>
      </w:r>
      <w:r w:rsidRPr="001D4B06">
        <w:rPr>
          <w:lang w:val="en-US"/>
        </w:rPr>
        <w:t>portive care in elderly patients with intermediate- or high-risk myelodysplastic syndrome (MDS) ineligible for intensive chemotherapy: final results of the randomized phase III study of the European Organisation for Research and Treatment of Cancer Leukemi</w:t>
      </w:r>
      <w:r w:rsidRPr="001D4B06">
        <w:rPr>
          <w:lang w:val="en-US"/>
        </w:rPr>
        <w:t xml:space="preserve">a Group and the German MDS Study Group. </w:t>
      </w:r>
      <w:r>
        <w:t xml:space="preserve">J Clin Oncol 29:1987-1996, 2011. </w:t>
      </w:r>
      <w:hyperlink r:id="rId36">
        <w:r>
          <w:rPr>
            <w:rStyle w:val="Hyperlink"/>
          </w:rPr>
          <w:t>DOI:10.1200/JCO.2010.30.9245</w:t>
        </w:r>
      </w:hyperlink>
    </w:p>
    <w:p w:rsidR="00C02512" w:rsidRDefault="001D4B06">
      <w:pPr>
        <w:pStyle w:val="Literaturverzeichnis"/>
        <w:numPr>
          <w:ilvl w:val="0"/>
          <w:numId w:val="30"/>
        </w:numPr>
      </w:pPr>
      <w:bookmarkStart w:id="502" w:name="litID0EQ4BI"/>
      <w:bookmarkEnd w:id="502"/>
      <w:r w:rsidRPr="001D4B06">
        <w:rPr>
          <w:lang w:val="en-US"/>
        </w:rPr>
        <w:t xml:space="preserve">Itzykson R, Thépot S, Quesnel B et al: Prognostic factors for response and overall survival </w:t>
      </w:r>
      <w:r w:rsidRPr="001D4B06">
        <w:rPr>
          <w:lang w:val="en-US"/>
        </w:rPr>
        <w:t xml:space="preserve">in 282 patients with higher-risk myelodysplastic syndromes treated with azacitidine. </w:t>
      </w:r>
      <w:r>
        <w:t xml:space="preserve">Blood. 2011;117:403-411, 2011. </w:t>
      </w:r>
      <w:hyperlink r:id="rId37">
        <w:r>
          <w:rPr>
            <w:rStyle w:val="Hyperlink"/>
          </w:rPr>
          <w:t>DOI:10.1182/blood-2010-06-289280</w:t>
        </w:r>
      </w:hyperlink>
    </w:p>
    <w:p w:rsidR="00C02512" w:rsidRDefault="001D4B06">
      <w:pPr>
        <w:pStyle w:val="Literaturverzeichnis"/>
        <w:numPr>
          <w:ilvl w:val="0"/>
          <w:numId w:val="30"/>
        </w:numPr>
      </w:pPr>
      <w:bookmarkStart w:id="503" w:name="litID0E14BI"/>
      <w:bookmarkEnd w:id="503"/>
      <w:r w:rsidRPr="001D4B06">
        <w:rPr>
          <w:lang w:val="en-US"/>
        </w:rPr>
        <w:t>Garcia-Manero G, Fenaux P, Al-Kali A et a</w:t>
      </w:r>
      <w:r w:rsidRPr="001D4B06">
        <w:rPr>
          <w:lang w:val="en-US"/>
        </w:rPr>
        <w:t xml:space="preserve">l: Overall survival and subgroup analysis from a randomized phase III study of intravenous Rigosertib versus best supportive care (BSC) in patients with higher-risk myelodysplastic syndrome (HR-MDS) after failure of hypomethylating agents (HMAs) Blood. </w:t>
      </w:r>
      <w:r>
        <w:t>201</w:t>
      </w:r>
      <w:r>
        <w:t xml:space="preserve">4;124:163, 2014. </w:t>
      </w:r>
      <w:hyperlink r:id="rId38">
        <w:r>
          <w:rPr>
            <w:rStyle w:val="Hyperlink"/>
          </w:rPr>
          <w:t>http://www.bloodjournal.org/content/124/21/163</w:t>
        </w:r>
      </w:hyperlink>
      <w:r>
        <w:t xml:space="preserve"> </w:t>
      </w:r>
    </w:p>
    <w:p w:rsidR="00C02512" w:rsidRDefault="001D4B06">
      <w:pPr>
        <w:pStyle w:val="Literaturverzeichnis"/>
        <w:numPr>
          <w:ilvl w:val="0"/>
          <w:numId w:val="30"/>
        </w:numPr>
      </w:pPr>
      <w:bookmarkStart w:id="504" w:name="litID0EH5BI"/>
      <w:bookmarkEnd w:id="504"/>
      <w:r w:rsidRPr="001D4B06">
        <w:rPr>
          <w:lang w:val="en-US"/>
        </w:rPr>
        <w:t xml:space="preserve">Wetzko K, Platzbecker U. Transplants in myelodysplastic syndromes. Hematol Oncol Clin North Am 28:1011-1022, 2014. </w:t>
      </w:r>
      <w:hyperlink r:id="rId39">
        <w:r>
          <w:rPr>
            <w:rStyle w:val="Hyperlink"/>
          </w:rPr>
          <w:t>DOI:10.1016/j.hoc.2014.08.012</w:t>
        </w:r>
      </w:hyperlink>
    </w:p>
    <w:p w:rsidR="00C02512" w:rsidRDefault="001D4B06">
      <w:pPr>
        <w:pStyle w:val="berschrift1"/>
      </w:pPr>
      <w:bookmarkStart w:id="505" w:name="head-active-studies"/>
      <w:bookmarkEnd w:id="505"/>
      <w:r>
        <w:t>Aktive Studien</w:t>
      </w:r>
    </w:p>
    <w:p w:rsidR="00C02512" w:rsidRDefault="001D4B06">
      <w:pPr>
        <w:pStyle w:val="berschrift1"/>
      </w:pPr>
      <w:bookmarkStart w:id="506" w:name="head-protocols"/>
      <w:bookmarkEnd w:id="506"/>
      <w:r>
        <w:t>Medikamentöse Tumortherapie - Protokolle</w:t>
      </w:r>
    </w:p>
    <w:p w:rsidR="00C02512" w:rsidRDefault="001D4B06">
      <w:pPr>
        <w:pStyle w:val="InterneInformation"/>
      </w:pPr>
      <w:r>
        <w:rPr>
          <w:b/>
        </w:rPr>
        <w:t>Interne Informationen:</w:t>
      </w:r>
    </w:p>
    <w:p w:rsidR="00C02512" w:rsidRDefault="001D4B06">
      <w:pPr>
        <w:pStyle w:val="InterneInformation"/>
      </w:pPr>
      <w:r>
        <w:t>Zum Zeitpunkt der Generierung dieses Dokuments lagen folgende  Protokolle  vor:</w:t>
      </w:r>
    </w:p>
    <w:p w:rsidR="00C02512" w:rsidRDefault="001D4B06">
      <w:pPr>
        <w:pStyle w:val="InterneInformation"/>
      </w:pPr>
      <w:hyperlink r:id="rId40">
        <w:r>
          <w:rPr>
            <w:rStyle w:val="Hyperlink"/>
          </w:rPr>
          <w:t>https://www.onkopedia.com/@@resolve-link?language=de&amp;document_type=protocols&amp;guideline_topics=49&amp;area=onkopedia</w:t>
        </w:r>
      </w:hyperlink>
    </w:p>
    <w:p w:rsidR="00C02512" w:rsidRDefault="001D4B06">
      <w:pPr>
        <w:pStyle w:val="InterneInformation"/>
      </w:pPr>
      <w:hyperlink r:id="rId41">
        <w:r>
          <w:rPr>
            <w:rStyle w:val="Hyperlink"/>
          </w:rPr>
          <w:t>https://www.onkopedia.com/@@resolve-link?language=de&amp;document_type=protocols&amp;guideline_topics=49&amp;area=onkopedia</w:t>
        </w:r>
      </w:hyperlink>
    </w:p>
    <w:p w:rsidR="00C02512" w:rsidRDefault="001D4B06">
      <w:pPr>
        <w:pStyle w:val="InterneInformation"/>
      </w:pPr>
      <w:r>
        <w:t>Aktuelle Informationen finden Sie online</w:t>
      </w:r>
    </w:p>
    <w:p w:rsidR="00C02512" w:rsidRDefault="001D4B06">
      <w:pPr>
        <w:pStyle w:val="berschrift1"/>
      </w:pPr>
      <w:bookmarkStart w:id="507" w:name="head-study-results"/>
      <w:bookmarkEnd w:id="507"/>
      <w:r>
        <w:t>Studienergebnisse</w:t>
      </w:r>
    </w:p>
    <w:p w:rsidR="00C02512" w:rsidRDefault="001D4B06">
      <w:pPr>
        <w:pStyle w:val="InterneInformation"/>
      </w:pPr>
      <w:r>
        <w:rPr>
          <w:b/>
        </w:rPr>
        <w:t>Interne Informationen:</w:t>
      </w:r>
    </w:p>
    <w:p w:rsidR="00C02512" w:rsidRDefault="001D4B06">
      <w:pPr>
        <w:pStyle w:val="InterneInformation"/>
      </w:pPr>
      <w:r>
        <w:t>Zum Zeitpunkt der Generierung dieses Dokuments lagen keine Studienergebnisse vor.</w:t>
      </w:r>
    </w:p>
    <w:p w:rsidR="00C02512" w:rsidRDefault="001D4B06">
      <w:pPr>
        <w:pStyle w:val="InterneInformation"/>
      </w:pPr>
      <w:r>
        <w:t>Aktuelle Informationen finden Sie online</w:t>
      </w:r>
    </w:p>
    <w:p w:rsidR="00C02512" w:rsidRDefault="001D4B06">
      <w:pPr>
        <w:pStyle w:val="berschrift1"/>
      </w:pPr>
      <w:bookmarkStart w:id="508" w:name="head-certification-status"/>
      <w:bookmarkEnd w:id="508"/>
      <w:r>
        <w:t>Zulassungsstatus</w:t>
      </w:r>
    </w:p>
    <w:p w:rsidR="00C02512" w:rsidRDefault="001D4B06">
      <w:pPr>
        <w:pStyle w:val="InterneInformation"/>
      </w:pPr>
      <w:r>
        <w:rPr>
          <w:b/>
        </w:rPr>
        <w:t>Interne Informationen:</w:t>
      </w:r>
    </w:p>
    <w:p w:rsidR="00C02512" w:rsidRDefault="001D4B06">
      <w:pPr>
        <w:pStyle w:val="InterneInformation"/>
      </w:pPr>
      <w:r>
        <w:t>Zum Zeitpunkt der Generierung dieses Dokuments lage</w:t>
      </w:r>
      <w:r>
        <w:t>n keine Zertifizierungen vor.</w:t>
      </w:r>
    </w:p>
    <w:p w:rsidR="00C02512" w:rsidRDefault="001D4B06">
      <w:pPr>
        <w:pStyle w:val="InterneInformation"/>
      </w:pPr>
      <w:r>
        <w:t>Aktuelle Informationen finden Sie online</w:t>
      </w:r>
    </w:p>
    <w:p w:rsidR="00C02512" w:rsidRDefault="001D4B06">
      <w:pPr>
        <w:pStyle w:val="berschrift1"/>
      </w:pPr>
      <w:bookmarkStart w:id="509" w:name="head-links"/>
      <w:bookmarkEnd w:id="509"/>
      <w:r>
        <w:t>Links</w:t>
      </w:r>
    </w:p>
    <w:bookmarkStart w:id="510" w:name="ID0EY3BI"/>
    <w:bookmarkEnd w:id="510"/>
    <w:p w:rsidR="00C02512" w:rsidRDefault="001D4B06">
      <w:r>
        <w:fldChar w:fldCharType="begin"/>
      </w:r>
      <w:r>
        <w:instrText xml:space="preserve"> HYPERLINK "http://www.mdsdiagnosis.com" \h </w:instrText>
      </w:r>
      <w:r>
        <w:fldChar w:fldCharType="separate"/>
      </w:r>
      <w:r>
        <w:rPr>
          <w:rStyle w:val="Hyperlink"/>
        </w:rPr>
        <w:t>www.mdsdiagnosis.com</w:t>
      </w:r>
      <w:r>
        <w:rPr>
          <w:rStyle w:val="Hyperlink"/>
        </w:rPr>
        <w:fldChar w:fldCharType="end"/>
      </w:r>
    </w:p>
    <w:bookmarkStart w:id="511" w:name="ID0EA4BI"/>
    <w:bookmarkEnd w:id="511"/>
    <w:p w:rsidR="00C02512" w:rsidRDefault="001D4B06">
      <w:r>
        <w:fldChar w:fldCharType="begin"/>
      </w:r>
      <w:r>
        <w:instrText xml:space="preserve"> HYPERLINK "http://www.mds-register.de" \h </w:instrText>
      </w:r>
      <w:r>
        <w:fldChar w:fldCharType="separate"/>
      </w:r>
      <w:r>
        <w:rPr>
          <w:rStyle w:val="Hyperlink"/>
        </w:rPr>
        <w:t>www.mds-register.de</w:t>
      </w:r>
      <w:r>
        <w:rPr>
          <w:rStyle w:val="Hyperlink"/>
        </w:rPr>
        <w:fldChar w:fldCharType="end"/>
      </w:r>
    </w:p>
    <w:bookmarkStart w:id="512" w:name="ID0EI4BI"/>
    <w:bookmarkEnd w:id="512"/>
    <w:p w:rsidR="00C02512" w:rsidRDefault="001D4B06">
      <w:r>
        <w:fldChar w:fldCharType="begin"/>
      </w:r>
      <w:r>
        <w:instrText xml:space="preserve"> HYPERLINK "http://www.mds-verbundprojekt.de" \h </w:instrText>
      </w:r>
      <w:r>
        <w:fldChar w:fldCharType="separate"/>
      </w:r>
      <w:r>
        <w:rPr>
          <w:rStyle w:val="Hyperlink"/>
        </w:rPr>
        <w:t>www.mds-verbundprojekt.de</w:t>
      </w:r>
      <w:r>
        <w:rPr>
          <w:rStyle w:val="Hyperlink"/>
        </w:rPr>
        <w:fldChar w:fldCharType="end"/>
      </w:r>
    </w:p>
    <w:bookmarkStart w:id="513" w:name="ID0EQ4BI"/>
    <w:bookmarkEnd w:id="513"/>
    <w:p w:rsidR="00C02512" w:rsidRDefault="001D4B06">
      <w:r>
        <w:fldChar w:fldCharType="begin"/>
      </w:r>
      <w:r>
        <w:instrText xml:space="preserve"> HYPERLINK "http://www.emsco.eu" \h </w:instrText>
      </w:r>
      <w:r>
        <w:fldChar w:fldCharType="separate"/>
      </w:r>
      <w:r>
        <w:rPr>
          <w:rStyle w:val="Hyperlink"/>
        </w:rPr>
        <w:t>www.emsco.eu</w:t>
      </w:r>
      <w:r>
        <w:rPr>
          <w:rStyle w:val="Hyperlink"/>
        </w:rPr>
        <w:fldChar w:fldCharType="end"/>
      </w:r>
    </w:p>
    <w:p w:rsidR="00C02512" w:rsidRDefault="001D4B06">
      <w:pPr>
        <w:pStyle w:val="berschrift1"/>
      </w:pPr>
      <w:bookmarkStart w:id="514" w:name="head-authorlist"/>
      <w:bookmarkEnd w:id="514"/>
      <w:r>
        <w:lastRenderedPageBreak/>
        <w:t>Anschriften der Verfasser</w:t>
      </w:r>
    </w:p>
    <w:p w:rsidR="00C02512" w:rsidRDefault="001D4B06">
      <w:pPr>
        <w:pStyle w:val="AutorName"/>
      </w:pPr>
      <w:r>
        <w:t>Prof. Dr. med.</w:t>
      </w:r>
      <w:r>
        <w:t xml:space="preserve"> </w:t>
      </w:r>
      <w:r>
        <w:t>Wolf-Karsten</w:t>
      </w:r>
      <w:r>
        <w:t xml:space="preserve"> </w:t>
      </w:r>
      <w:r>
        <w:t>Hofmann</w:t>
      </w:r>
    </w:p>
    <w:p w:rsidR="00C02512" w:rsidRDefault="001D4B06">
      <w:pPr>
        <w:pStyle w:val="AutorFirma"/>
      </w:pPr>
      <w:r>
        <w:t>Universität Heidelberg</w:t>
      </w:r>
      <w:r>
        <w:br/>
      </w:r>
      <w:r>
        <w:t>Medizinische Fakultät Mannheim</w:t>
      </w:r>
      <w:r>
        <w:br/>
      </w:r>
      <w:r>
        <w:t>III. Medizinische Klinik</w:t>
      </w:r>
    </w:p>
    <w:p w:rsidR="00C02512" w:rsidRDefault="001D4B06">
      <w:pPr>
        <w:pStyle w:val="AutorStrasse"/>
      </w:pPr>
      <w:r>
        <w:t>Theodor-Kutzer-Ufer 1-3</w:t>
      </w:r>
    </w:p>
    <w:p w:rsidR="00C02512" w:rsidRDefault="001D4B06">
      <w:pPr>
        <w:pStyle w:val="AutorStadt"/>
      </w:pPr>
      <w:r>
        <w:t>68167 Mannheim</w:t>
      </w:r>
    </w:p>
    <w:p w:rsidR="00C02512" w:rsidRDefault="001D4B06">
      <w:pPr>
        <w:pStyle w:val="AutorTelefon"/>
      </w:pPr>
      <w:r>
        <w:t>Tel: </w:t>
      </w:r>
      <w:r>
        <w:t>0621 383-4115</w:t>
      </w:r>
    </w:p>
    <w:p w:rsidR="00C02512" w:rsidRDefault="001D4B06">
      <w:pPr>
        <w:pStyle w:val="AutorTelefax"/>
      </w:pPr>
      <w:r>
        <w:t>Fax: </w:t>
      </w:r>
      <w:r>
        <w:t>0621 383-4201</w:t>
      </w:r>
    </w:p>
    <w:p w:rsidR="00C02512" w:rsidRDefault="001D4B06">
      <w:pPr>
        <w:pStyle w:val="AutorEmail"/>
      </w:pPr>
      <w:hyperlink r:id="rId42">
        <w:r>
          <w:rPr>
            <w:rStyle w:val="Hyperlink"/>
          </w:rPr>
          <w:t>w.k.hofmann@umm.de</w:t>
        </w:r>
      </w:hyperlink>
    </w:p>
    <w:p w:rsidR="00C02512" w:rsidRDefault="001D4B06">
      <w:pPr>
        <w:pStyle w:val="AutorName"/>
      </w:pPr>
      <w:r>
        <w:t>Prof. Dr. med.</w:t>
      </w:r>
      <w:r>
        <w:t xml:space="preserve"> </w:t>
      </w:r>
      <w:r>
        <w:t>Ulrich</w:t>
      </w:r>
      <w:r>
        <w:t xml:space="preserve"> </w:t>
      </w:r>
      <w:r>
        <w:t>Germing</w:t>
      </w:r>
    </w:p>
    <w:p w:rsidR="00C02512" w:rsidRDefault="001D4B06">
      <w:pPr>
        <w:pStyle w:val="AutorFirma"/>
      </w:pPr>
      <w:r>
        <w:t>Universitätsklinikum Düsseldorf</w:t>
      </w:r>
      <w:r>
        <w:br/>
      </w:r>
      <w:r>
        <w:t>Klinik für Hämatologie, Onko</w:t>
      </w:r>
      <w:r>
        <w:t>logie und</w:t>
      </w:r>
      <w:r>
        <w:br/>
      </w:r>
      <w:r>
        <w:t>klinische Immunologie</w:t>
      </w:r>
    </w:p>
    <w:p w:rsidR="00C02512" w:rsidRDefault="001D4B06">
      <w:pPr>
        <w:pStyle w:val="AutorStrasse"/>
      </w:pPr>
      <w:r>
        <w:t>Moorenstr. 5</w:t>
      </w:r>
    </w:p>
    <w:p w:rsidR="00C02512" w:rsidRDefault="001D4B06">
      <w:pPr>
        <w:pStyle w:val="AutorStadt"/>
      </w:pPr>
      <w:r>
        <w:t>40225 Düsseldorf</w:t>
      </w:r>
    </w:p>
    <w:p w:rsidR="00C02512" w:rsidRDefault="001D4B06">
      <w:pPr>
        <w:pStyle w:val="AutorTelefon"/>
      </w:pPr>
      <w:r>
        <w:t>Tel: </w:t>
      </w:r>
      <w:r>
        <w:t>0211 811-7720</w:t>
      </w:r>
    </w:p>
    <w:p w:rsidR="00C02512" w:rsidRDefault="001D4B06">
      <w:pPr>
        <w:pStyle w:val="AutorTelefax"/>
      </w:pPr>
      <w:r>
        <w:t>Fax: </w:t>
      </w:r>
      <w:r>
        <w:t>0211 811-8853</w:t>
      </w:r>
    </w:p>
    <w:p w:rsidR="00C02512" w:rsidRDefault="001D4B06">
      <w:pPr>
        <w:pStyle w:val="AutorEmail"/>
      </w:pPr>
      <w:hyperlink r:id="rId43">
        <w:r>
          <w:rPr>
            <w:rStyle w:val="Hyperlink"/>
          </w:rPr>
          <w:t>germing@med.uni-duesseldorf.de</w:t>
        </w:r>
      </w:hyperlink>
    </w:p>
    <w:p w:rsidR="00C02512" w:rsidRDefault="001D4B06">
      <w:pPr>
        <w:pStyle w:val="AutorName"/>
      </w:pPr>
      <w:r>
        <w:t>Prof. Dr. med.</w:t>
      </w:r>
      <w:r>
        <w:t xml:space="preserve"> </w:t>
      </w:r>
      <w:r>
        <w:t>Katharina</w:t>
      </w:r>
      <w:r>
        <w:t xml:space="preserve"> </w:t>
      </w:r>
      <w:r>
        <w:t>Götze</w:t>
      </w:r>
    </w:p>
    <w:p w:rsidR="00C02512" w:rsidRDefault="001D4B06">
      <w:pPr>
        <w:pStyle w:val="AutorStadt"/>
      </w:pPr>
      <w:r>
        <w:t xml:space="preserve"> </w:t>
      </w:r>
    </w:p>
    <w:p w:rsidR="00C02512" w:rsidRDefault="001D4B06">
      <w:pPr>
        <w:pStyle w:val="AutorName"/>
      </w:pPr>
      <w:r>
        <w:t>Prof. Dr. med.</w:t>
      </w:r>
      <w:r>
        <w:t xml:space="preserve"> </w:t>
      </w:r>
      <w:r>
        <w:t>Jakob</w:t>
      </w:r>
      <w:r>
        <w:t xml:space="preserve"> </w:t>
      </w:r>
      <w:r>
        <w:t>Passweg</w:t>
      </w:r>
    </w:p>
    <w:p w:rsidR="00C02512" w:rsidRDefault="001D4B06">
      <w:pPr>
        <w:pStyle w:val="AutorFirma"/>
      </w:pPr>
      <w:r>
        <w:t>Univer</w:t>
      </w:r>
      <w:r>
        <w:t>sitätsspital Basel</w:t>
      </w:r>
      <w:r>
        <w:br/>
      </w:r>
      <w:r>
        <w:t>Hämatologie</w:t>
      </w:r>
    </w:p>
    <w:p w:rsidR="00C02512" w:rsidRDefault="001D4B06">
      <w:pPr>
        <w:pStyle w:val="AutorStrasse"/>
      </w:pPr>
      <w:r>
        <w:t>Petersgraben 4</w:t>
      </w:r>
    </w:p>
    <w:p w:rsidR="00C02512" w:rsidRDefault="001D4B06">
      <w:pPr>
        <w:pStyle w:val="AutorStadt"/>
      </w:pPr>
      <w:r>
        <w:t>CH-4031 Basel</w:t>
      </w:r>
    </w:p>
    <w:p w:rsidR="00C02512" w:rsidRDefault="001D4B06">
      <w:pPr>
        <w:pStyle w:val="AutorEmail"/>
      </w:pPr>
      <w:hyperlink r:id="rId44">
        <w:r>
          <w:rPr>
            <w:rStyle w:val="Hyperlink"/>
          </w:rPr>
          <w:t>Jakob.Passweg@bluewin.ch</w:t>
        </w:r>
      </w:hyperlink>
    </w:p>
    <w:p w:rsidR="00C02512" w:rsidRDefault="001D4B06">
      <w:pPr>
        <w:pStyle w:val="AutorName"/>
      </w:pPr>
      <w:r>
        <w:t>Prof. Dr. med.</w:t>
      </w:r>
      <w:r>
        <w:t xml:space="preserve"> </w:t>
      </w:r>
      <w:r>
        <w:t>Uwe</w:t>
      </w:r>
      <w:r>
        <w:t xml:space="preserve"> </w:t>
      </w:r>
      <w:r>
        <w:t>Platzbecker</w:t>
      </w:r>
    </w:p>
    <w:p w:rsidR="00C02512" w:rsidRDefault="001D4B06">
      <w:pPr>
        <w:pStyle w:val="AutorFirma"/>
      </w:pPr>
      <w:r>
        <w:t>Universitätsklinik Dresden</w:t>
      </w:r>
      <w:r>
        <w:br/>
      </w:r>
      <w:r>
        <w:t>Medizinische Klinik I</w:t>
      </w:r>
    </w:p>
    <w:p w:rsidR="00C02512" w:rsidRDefault="001D4B06">
      <w:pPr>
        <w:pStyle w:val="AutorStrasse"/>
      </w:pPr>
      <w:r>
        <w:t>Fetscherstr. 74</w:t>
      </w:r>
    </w:p>
    <w:p w:rsidR="00C02512" w:rsidRDefault="001D4B06">
      <w:pPr>
        <w:pStyle w:val="AutorStadt"/>
      </w:pPr>
      <w:r>
        <w:t>01307 Dresden</w:t>
      </w:r>
    </w:p>
    <w:p w:rsidR="00C02512" w:rsidRDefault="001D4B06">
      <w:pPr>
        <w:pStyle w:val="AutorTelefon"/>
      </w:pPr>
      <w:r>
        <w:t>Tel: </w:t>
      </w:r>
      <w:r>
        <w:t>0351 458-2583</w:t>
      </w:r>
    </w:p>
    <w:p w:rsidR="00C02512" w:rsidRDefault="001D4B06">
      <w:pPr>
        <w:pStyle w:val="AutorTelefax"/>
      </w:pPr>
      <w:r>
        <w:t>Fax: </w:t>
      </w:r>
      <w:r>
        <w:t>0351 458-5362</w:t>
      </w:r>
    </w:p>
    <w:p w:rsidR="00C02512" w:rsidRDefault="001D4B06">
      <w:pPr>
        <w:pStyle w:val="AutorEmail"/>
      </w:pPr>
      <w:hyperlink r:id="rId45">
        <w:r>
          <w:rPr>
            <w:rStyle w:val="Hyperlink"/>
          </w:rPr>
          <w:t>uwe.platzbecker@uniklinikum-dresden.de</w:t>
        </w:r>
      </w:hyperlink>
    </w:p>
    <w:p w:rsidR="00C02512" w:rsidRDefault="001D4B06">
      <w:pPr>
        <w:pStyle w:val="AutorName"/>
      </w:pPr>
      <w:r>
        <w:t>Univ.-Prof. Dr. med.</w:t>
      </w:r>
      <w:r>
        <w:t xml:space="preserve"> </w:t>
      </w:r>
      <w:r>
        <w:t>Reinhard</w:t>
      </w:r>
      <w:r>
        <w:t xml:space="preserve"> </w:t>
      </w:r>
      <w:r>
        <w:t>Stauder</w:t>
      </w:r>
    </w:p>
    <w:p w:rsidR="00C02512" w:rsidRDefault="001D4B06">
      <w:pPr>
        <w:pStyle w:val="AutorFirma"/>
      </w:pPr>
      <w:r>
        <w:t>Medizinische Universität Innsbruck</w:t>
      </w:r>
      <w:r>
        <w:br/>
      </w:r>
      <w:r>
        <w:t>Universitätsklinik f.Innere Medizin V</w:t>
      </w:r>
      <w:r>
        <w:br/>
      </w:r>
      <w:r>
        <w:t>Klinisch</w:t>
      </w:r>
      <w:r>
        <w:t>e Abteilung für Hämatologie und Onkologie</w:t>
      </w:r>
    </w:p>
    <w:p w:rsidR="00C02512" w:rsidRDefault="001D4B06">
      <w:pPr>
        <w:pStyle w:val="AutorStrasse"/>
      </w:pPr>
      <w:r>
        <w:t>Anichstraße 35</w:t>
      </w:r>
    </w:p>
    <w:p w:rsidR="00C02512" w:rsidRDefault="001D4B06">
      <w:pPr>
        <w:pStyle w:val="AutorStadt"/>
      </w:pPr>
      <w:r>
        <w:t>A-6020 Innsbruck</w:t>
      </w:r>
    </w:p>
    <w:p w:rsidR="00C02512" w:rsidRDefault="001D4B06">
      <w:pPr>
        <w:pStyle w:val="AutorTelefon"/>
      </w:pPr>
      <w:r>
        <w:t>Tel: </w:t>
      </w:r>
      <w:r>
        <w:t>0043 512 504 3255</w:t>
      </w:r>
    </w:p>
    <w:p w:rsidR="00C02512" w:rsidRDefault="001D4B06">
      <w:pPr>
        <w:pStyle w:val="AutorTelefax"/>
      </w:pPr>
      <w:r>
        <w:t>Fax: </w:t>
      </w:r>
      <w:r>
        <w:t>0043 512 504 3341</w:t>
      </w:r>
    </w:p>
    <w:p w:rsidR="00C02512" w:rsidRDefault="001D4B06">
      <w:pPr>
        <w:pStyle w:val="AutorEmail"/>
      </w:pPr>
      <w:hyperlink r:id="rId46">
        <w:r>
          <w:rPr>
            <w:rStyle w:val="Hyperlink"/>
          </w:rPr>
          <w:t>reinhard.stauder@uibk.ac.at</w:t>
        </w:r>
      </w:hyperlink>
    </w:p>
    <w:p w:rsidR="00C02512" w:rsidRDefault="001D4B06">
      <w:pPr>
        <w:pStyle w:val="berschrift1"/>
      </w:pPr>
      <w:bookmarkStart w:id="515" w:name="head-disclosure-conflicts"/>
      <w:bookmarkEnd w:id="515"/>
      <w:r>
        <w:t>Offenlegung potentieller Interessenkonflikte</w:t>
      </w:r>
    </w:p>
    <w:p w:rsidR="00C02512" w:rsidRDefault="001D4B06">
      <w:bookmarkStart w:id="516" w:name="ID0EG5BI"/>
      <w:bookmarkEnd w:id="516"/>
      <w:r>
        <w:t xml:space="preserve">nach den </w:t>
      </w:r>
      <w:r>
        <w:t>Regeln der DGHO Deutsche Gesellschaft für Hämatologie und Medizinische Onkologie und den Empfehlungen der AWMF (Version vom 23. April 2010) und internationalen Empfehlungen.</w:t>
      </w:r>
    </w:p>
    <w:sectPr w:rsidR="00C02512" w:rsidSect="00522E3C">
      <w:headerReference w:type="even" r:id="rId47"/>
      <w:headerReference w:type="default" r:id="rId48"/>
      <w:footerReference w:type="default" r:id="rId49"/>
      <w:headerReference w:type="first" r:id="rId50"/>
      <w:footerReference w:type="first" r:id="rId51"/>
      <w:pgSz w:w="11906" w:h="16838" w:code="9"/>
      <w:pgMar w:top="1134" w:right="567"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76D" w:rsidRDefault="00FB176D" w:rsidP="006778AD">
      <w:pPr>
        <w:spacing w:after="0"/>
      </w:pPr>
      <w:r>
        <w:separator/>
      </w:r>
    </w:p>
  </w:endnote>
  <w:endnote w:type="continuationSeparator" w:id="0">
    <w:p w:rsidR="00FB176D" w:rsidRDefault="00FB176D" w:rsidP="00677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fficinaSans Book">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C2" w:rsidRDefault="001D4B06" w:rsidP="00B725F1">
    <w:pPr>
      <w:pStyle w:val="Fuzeile"/>
      <w:tabs>
        <w:tab w:val="left" w:pos="1418"/>
      </w:tabs>
      <w:rPr>
        <w:noProof/>
      </w:rPr>
    </w:pPr>
    <w:r>
      <w:rPr>
        <w:noProof/>
        <w:lang w:eastAsia="de-DE"/>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ge">
                <wp:posOffset>9716770</wp:posOffset>
              </wp:positionV>
              <wp:extent cx="6090285" cy="15240"/>
              <wp:effectExtent l="0" t="0" r="24765" b="22860"/>
              <wp:wrapTopAndBottom/>
              <wp:docPr id="5"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0285" cy="15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3"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65.1pt" to="479.55pt,7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" strokecolor="#93c573 [3207]" strokeweight=".5pt">
              <v:stroke joinstyle="miter"/>
              <o:lock v:ext="edit" shapetype="f"/>
              <w10:wrap type="topAndBottom" anchorx="margin" anchory="page"/>
            </v:line>
          </w:pict>
        </mc:Fallback>
      </mc:AlternateContent>
    </w:r>
    <w:r w:rsidR="00F55A89" w:rsidRPr="00F55A89">
      <w:t xml:space="preserve"> </w:t>
    </w:r>
    <w:r w:rsidR="00F55A89">
      <w:t>Zuletzt geändert:</w:t>
    </w:r>
    <w:r w:rsidR="00F55A89">
      <w:tab/>
    </w:r>
    <w:r w:rsidR="00F55A89">
      <w:fldChar w:fldCharType="begin"/>
    </w:r>
    <w:r w:rsidR="00F55A89">
      <w:instrText xml:space="preserve"> SAVEDATE  \@ "dd.MM.yyyy HH:mm"  \* MERGEFORMAT </w:instrText>
    </w:r>
    <w:r w:rsidR="00F55A89">
      <w:fldChar w:fldCharType="separate"/>
    </w:r>
    <w:r>
      <w:rPr>
        <w:noProof/>
      </w:rPr>
      <w:t>18.03.2016 16:56</w:t>
    </w:r>
    <w:r w:rsidR="00F55A89">
      <w:fldChar w:fldCharType="end"/>
    </w:r>
    <w:r w:rsidR="00DF0910">
      <w:tab/>
      <w:t xml:space="preserve">Seite </w:t>
    </w:r>
    <w:r w:rsidR="00DF0910">
      <w:fldChar w:fldCharType="begin"/>
    </w:r>
    <w:r w:rsidR="00DF0910">
      <w:instrText>PAGE  \* Arabic  \* MERGEFORMAT</w:instrText>
    </w:r>
    <w:r w:rsidR="00DF0910">
      <w:fldChar w:fldCharType="separate"/>
    </w:r>
    <w:r>
      <w:rPr>
        <w:noProof/>
      </w:rPr>
      <w:t>15</w:t>
    </w:r>
    <w:r w:rsidR="00DF0910">
      <w:fldChar w:fldCharType="end"/>
    </w:r>
    <w:r w:rsidR="00DF0910">
      <w:t xml:space="preserve"> von </w:t>
    </w:r>
    <w:fldSimple w:instr="NUMPAGES  \* Arabic  \* MERGEFORMAT">
      <w:r>
        <w:rPr>
          <w:noProof/>
        </w:rPr>
        <w:t>15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C2" w:rsidRDefault="001D4B06" w:rsidP="00795478">
    <w:pPr>
      <w:pStyle w:val="Kopfzeile"/>
    </w:pPr>
    <w:r>
      <w:rPr>
        <w:noProof/>
        <w:lang w:eastAsia="de-DE"/>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ge">
                <wp:posOffset>9705340</wp:posOffset>
              </wp:positionV>
              <wp:extent cx="6090285" cy="15240"/>
              <wp:effectExtent l="0" t="0" r="24765" b="22860"/>
              <wp:wrapTopAndBottom/>
              <wp:docPr id="3"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0285" cy="15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2"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28.35pt,764.2pt" to="907.9pt,7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" strokecolor="#93c573 [3207]" strokeweight=".5pt">
              <v:stroke joinstyle="miter"/>
              <o:lock v:ext="edit" shapetype="f"/>
              <w10:wrap type="topAndBottom"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76D" w:rsidRDefault="00FB176D" w:rsidP="006778AD">
      <w:pPr>
        <w:spacing w:after="0"/>
      </w:pPr>
      <w:r>
        <w:separator/>
      </w:r>
    </w:p>
  </w:footnote>
  <w:footnote w:type="continuationSeparator" w:id="0">
    <w:p w:rsidR="00FB176D" w:rsidRDefault="00FB176D" w:rsidP="006778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AD" w:rsidRDefault="001D4B0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5" o:spid="_x0000_s2050" type="#_x0000_t136" style="position:absolute;margin-left:0;margin-top:0;width:643.65pt;height:35.75pt;rotation:315;z-index:-251655168;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AD" w:rsidRDefault="001D4B06">
    <w:pPr>
      <w:pStyle w:val="Kopfzeile"/>
    </w:pPr>
    <w:r>
      <w:rPr>
        <w:noProof/>
        <w:lang w:eastAsia="de-DE"/>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ge">
                <wp:posOffset>645795</wp:posOffset>
              </wp:positionV>
              <wp:extent cx="6090285" cy="15240"/>
              <wp:effectExtent l="0" t="0" r="24765" b="22860"/>
              <wp:wrapTopAndBottom/>
              <wp:docPr id="6"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0285" cy="15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4"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50.85pt" to="479.5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" strokecolor="#93c573 [3207]" strokeweight=".5pt">
              <v:stroke joinstyle="miter"/>
              <o:lock v:ext="edit" shapetype="f"/>
              <w10:wrap type="topAndBottom" anchorx="margin" anchory="page"/>
            </v:lin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6" o:spid="_x0000_s2051" type="#_x0000_t136" style="position:absolute;margin-left:0;margin-top:0;width:643.65pt;height:35.75pt;rotation:315;z-index:-251653120;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8AD" w:rsidRDefault="001D4B06" w:rsidP="00795478">
    <w:pPr>
      <w:pStyle w:val="Kopfzeile"/>
    </w:pPr>
    <w:r>
      <w:rPr>
        <w:noProof/>
        <w:lang w:eastAsia="de-DE"/>
      </w:rPr>
      <mc:AlternateContent>
        <mc:Choice Requires="wps">
          <w:drawing>
            <wp:anchor distT="0" distB="0" distL="114300" distR="114300" simplePos="0" relativeHeight="251660287" behindDoc="0" locked="0" layoutInCell="1" allowOverlap="1">
              <wp:simplePos x="0" y="0"/>
              <wp:positionH relativeFrom="margin">
                <wp:align>right</wp:align>
              </wp:positionH>
              <wp:positionV relativeFrom="page">
                <wp:posOffset>647700</wp:posOffset>
              </wp:positionV>
              <wp:extent cx="6079490" cy="20955"/>
              <wp:effectExtent l="0" t="0" r="16510" b="36195"/>
              <wp:wrapTopAndBottom/>
              <wp:docPr id="4"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79490" cy="2095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1" o:spid="_x0000_s1026" style="position:absolute;flip:y;z-index:251660287;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27.5pt,51pt" to="906.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" strokecolor="#93c573 [3207]" strokeweight=".5pt">
              <v:stroke joinstyle="miter"/>
              <o:lock v:ext="edit" shapetype="f"/>
              <w10:wrap type="topAndBottom" anchorx="margin" anchory="page"/>
            </v:lin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7254" o:spid="_x0000_s2049" type="#_x0000_t136" style="position:absolute;margin-left:0;margin-top:0;width:643.65pt;height:35.75pt;rotation:315;z-index:-251657216;mso-position-horizontal:center;mso-position-horizontal-relative:margin;mso-position-vertical:center;mso-position-vertical-relative:margin" o:allowincell="f" fillcolor="#e7e6e6 [3214]" stroked="f">
          <v:fill opacity=".5"/>
          <v:textpath style="font-family:&quot;Arial&quot;;font-size:1pt" string="DGHO Onkopedia-Manuskript aus XM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DE7AC4"/>
    <w:lvl w:ilvl="0">
      <w:start w:val="1"/>
      <w:numFmt w:val="decimal"/>
      <w:lvlText w:val="%1."/>
      <w:lvlJc w:val="left"/>
      <w:pPr>
        <w:tabs>
          <w:tab w:val="num" w:pos="1492"/>
        </w:tabs>
        <w:ind w:left="1492" w:hanging="360"/>
      </w:pPr>
    </w:lvl>
  </w:abstractNum>
  <w:abstractNum w:abstractNumId="1">
    <w:nsid w:val="FFFFFF7D"/>
    <w:multiLevelType w:val="singleLevel"/>
    <w:tmpl w:val="BBB6E280"/>
    <w:lvl w:ilvl="0">
      <w:start w:val="1"/>
      <w:numFmt w:val="decimal"/>
      <w:lvlText w:val="%1."/>
      <w:lvlJc w:val="left"/>
      <w:pPr>
        <w:tabs>
          <w:tab w:val="num" w:pos="1209"/>
        </w:tabs>
        <w:ind w:left="1209" w:hanging="360"/>
      </w:pPr>
    </w:lvl>
  </w:abstractNum>
  <w:abstractNum w:abstractNumId="2">
    <w:nsid w:val="FFFFFF7E"/>
    <w:multiLevelType w:val="singleLevel"/>
    <w:tmpl w:val="8774F9FC"/>
    <w:lvl w:ilvl="0">
      <w:start w:val="1"/>
      <w:numFmt w:val="decimal"/>
      <w:lvlText w:val="%1."/>
      <w:lvlJc w:val="left"/>
      <w:pPr>
        <w:tabs>
          <w:tab w:val="num" w:pos="926"/>
        </w:tabs>
        <w:ind w:left="926" w:hanging="360"/>
      </w:pPr>
    </w:lvl>
  </w:abstractNum>
  <w:abstractNum w:abstractNumId="3">
    <w:nsid w:val="FFFFFF7F"/>
    <w:multiLevelType w:val="singleLevel"/>
    <w:tmpl w:val="74B82592"/>
    <w:lvl w:ilvl="0">
      <w:start w:val="1"/>
      <w:numFmt w:val="decimal"/>
      <w:lvlText w:val="%1."/>
      <w:lvlJc w:val="left"/>
      <w:pPr>
        <w:tabs>
          <w:tab w:val="num" w:pos="643"/>
        </w:tabs>
        <w:ind w:left="643" w:hanging="360"/>
      </w:pPr>
    </w:lvl>
  </w:abstractNum>
  <w:abstractNum w:abstractNumId="4">
    <w:nsid w:val="FFFFFF80"/>
    <w:multiLevelType w:val="singleLevel"/>
    <w:tmpl w:val="103C25A8"/>
    <w:lvl w:ilvl="0">
      <w:start w:val="1"/>
      <w:numFmt w:val="bullet"/>
      <w:pStyle w:val="Aufzhlungszeichen5"/>
      <w:lvlText w:val="•"/>
      <w:lvlJc w:val="left"/>
      <w:pPr>
        <w:ind w:left="1494" w:hanging="360"/>
      </w:pPr>
      <w:rPr>
        <w:rFonts w:ascii="Arial" w:hAnsi="Arial" w:hint="default"/>
        <w:color w:val="auto"/>
        <w:u w:val="none"/>
      </w:rPr>
    </w:lvl>
  </w:abstractNum>
  <w:abstractNum w:abstractNumId="5">
    <w:nsid w:val="FFFFFF81"/>
    <w:multiLevelType w:val="singleLevel"/>
    <w:tmpl w:val="4C42D370"/>
    <w:lvl w:ilvl="0">
      <w:numFmt w:val="bullet"/>
      <w:pStyle w:val="Aufzhlungszeichen4"/>
      <w:lvlText w:val="–"/>
      <w:lvlJc w:val="left"/>
      <w:pPr>
        <w:ind w:left="1211" w:hanging="360"/>
      </w:pPr>
      <w:rPr>
        <w:rFonts w:ascii="OfficinaSans Book" w:eastAsiaTheme="minorEastAsia" w:hAnsi="OfficinaSans Book" w:cs="Times New Roman" w:hint="default"/>
      </w:rPr>
    </w:lvl>
  </w:abstractNum>
  <w:abstractNum w:abstractNumId="6">
    <w:nsid w:val="FFFFFF82"/>
    <w:multiLevelType w:val="singleLevel"/>
    <w:tmpl w:val="FCFE54B2"/>
    <w:lvl w:ilvl="0">
      <w:numFmt w:val="bullet"/>
      <w:pStyle w:val="Aufzhlungszeichen3"/>
      <w:lvlText w:val="▫"/>
      <w:lvlJc w:val="left"/>
      <w:pPr>
        <w:ind w:left="927" w:hanging="360"/>
      </w:pPr>
      <w:rPr>
        <w:rFonts w:ascii="Arial" w:eastAsiaTheme="minorEastAsia" w:hAnsi="Arial" w:hint="default"/>
      </w:rPr>
    </w:lvl>
  </w:abstractNum>
  <w:abstractNum w:abstractNumId="7">
    <w:nsid w:val="FFFFFF83"/>
    <w:multiLevelType w:val="singleLevel"/>
    <w:tmpl w:val="C5560D40"/>
    <w:lvl w:ilvl="0">
      <w:numFmt w:val="bullet"/>
      <w:pStyle w:val="Aufzhlungszeichen2"/>
      <w:lvlText w:val="◦"/>
      <w:lvlJc w:val="left"/>
      <w:pPr>
        <w:ind w:left="644" w:hanging="360"/>
      </w:pPr>
      <w:rPr>
        <w:rFonts w:ascii="Arial" w:eastAsiaTheme="minorEastAsia" w:hAnsi="Arial" w:hint="default"/>
      </w:rPr>
    </w:lvl>
  </w:abstractNum>
  <w:abstractNum w:abstractNumId="8">
    <w:nsid w:val="FFFFFF88"/>
    <w:multiLevelType w:val="singleLevel"/>
    <w:tmpl w:val="19425A4C"/>
    <w:lvl w:ilvl="0">
      <w:start w:val="1"/>
      <w:numFmt w:val="decimal"/>
      <w:lvlText w:val="%1."/>
      <w:lvlJc w:val="left"/>
      <w:pPr>
        <w:tabs>
          <w:tab w:val="num" w:pos="360"/>
        </w:tabs>
        <w:ind w:left="360" w:hanging="360"/>
      </w:pPr>
    </w:lvl>
  </w:abstractNum>
  <w:abstractNum w:abstractNumId="9">
    <w:nsid w:val="FFFFFF89"/>
    <w:multiLevelType w:val="singleLevel"/>
    <w:tmpl w:val="4EBE3472"/>
    <w:lvl w:ilvl="0">
      <w:start w:val="1"/>
      <w:numFmt w:val="bullet"/>
      <w:pStyle w:val="Aufzhlungszeichen"/>
      <w:lvlText w:val="•"/>
      <w:lvlJc w:val="left"/>
      <w:pPr>
        <w:ind w:left="360" w:hanging="360"/>
      </w:pPr>
      <w:rPr>
        <w:rFonts w:ascii="Arial" w:hAnsi="Arial" w:hint="default"/>
        <w:color w:val="auto"/>
        <w:u w:val="none"/>
      </w:rPr>
    </w:lvl>
  </w:abstractNum>
  <w:abstractNum w:abstractNumId="10">
    <w:nsid w:val="047A5D76"/>
    <w:multiLevelType w:val="multilevel"/>
    <w:tmpl w:val="0407001D"/>
    <w:lvl w:ilvl="0">
      <w:start w:val="1"/>
      <w:numFmt w:val="decimal"/>
      <w:pStyle w:val="Listennummer"/>
      <w:lvlText w:val="%1."/>
      <w:lvlJc w:val="left"/>
      <w:pPr>
        <w:ind w:left="360" w:hanging="360"/>
      </w:pPr>
    </w:lvl>
    <w:lvl w:ilvl="1">
      <w:start w:val="1"/>
      <w:numFmt w:val="decimal"/>
      <w:pStyle w:val="Listennummer2"/>
      <w:lvlText w:val="%2."/>
      <w:lvlJc w:val="left"/>
      <w:pPr>
        <w:ind w:left="720" w:hanging="360"/>
      </w:pPr>
    </w:lvl>
    <w:lvl w:ilvl="2">
      <w:start w:val="1"/>
      <w:numFmt w:val="decimal"/>
      <w:pStyle w:val="Listennummer3"/>
      <w:lvlText w:val="%3."/>
      <w:lvlJc w:val="left"/>
      <w:pPr>
        <w:ind w:left="1080" w:hanging="360"/>
      </w:pPr>
    </w:lvl>
    <w:lvl w:ilvl="3">
      <w:start w:val="1"/>
      <w:numFmt w:val="decimal"/>
      <w:pStyle w:val="Listennummer4"/>
      <w:lvlText w:val="(%4)"/>
      <w:lvlJc w:val="left"/>
      <w:pPr>
        <w:ind w:left="1440" w:hanging="360"/>
      </w:pPr>
    </w:lvl>
    <w:lvl w:ilvl="4">
      <w:start w:val="1"/>
      <w:numFmt w:val="decimal"/>
      <w:pStyle w:val="Listennummer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13609A5"/>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8F046BE"/>
    <w:multiLevelType w:val="hybridMultilevel"/>
    <w:tmpl w:val="55CCC6DA"/>
    <w:lvl w:ilvl="0" w:tplc="3A2026FC">
      <w:numFmt w:val="bullet"/>
      <w:lvlText w:val="–"/>
      <w:lvlJc w:val="left"/>
      <w:pPr>
        <w:ind w:left="720" w:hanging="360"/>
      </w:pPr>
      <w:rPr>
        <w:rFonts w:ascii="OfficinaSans Book" w:eastAsiaTheme="minorEastAsia" w:hAnsi="OfficinaSans 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2B7720"/>
    <w:multiLevelType w:val="hybridMultilevel"/>
    <w:tmpl w:val="930EFC2C"/>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4">
    <w:nsid w:val="2FFE717E"/>
    <w:multiLevelType w:val="hybridMultilevel"/>
    <w:tmpl w:val="9AFC25A0"/>
    <w:lvl w:ilvl="0" w:tplc="1F683346">
      <w:start w:val="1"/>
      <w:numFmt w:val="bullet"/>
      <w:lvlText w:val="◦"/>
      <w:lvlJc w:val="left"/>
      <w:pPr>
        <w:ind w:left="1004" w:hanging="360"/>
      </w:pPr>
      <w:rPr>
        <w:rFonts w:ascii="Arial" w:hAnsi="Arial" w:hint="default"/>
        <w:color w:val="auto"/>
        <w:u w:val="no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35A4176C"/>
    <w:multiLevelType w:val="hybridMultilevel"/>
    <w:tmpl w:val="8B884B3A"/>
    <w:lvl w:ilvl="0" w:tplc="1BB65D16">
      <w:start w:val="1"/>
      <w:numFmt w:val="bullet"/>
      <w:lvlText w:val="-"/>
      <w:lvlJc w:val="left"/>
      <w:pPr>
        <w:ind w:left="1571" w:hanging="360"/>
      </w:pPr>
      <w:rPr>
        <w:rFonts w:ascii="Arial" w:hAnsi="Arial" w:hint="default"/>
        <w:color w:val="auto"/>
        <w:u w:val="none"/>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6">
    <w:nsid w:val="4621158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2455DE"/>
    <w:multiLevelType w:val="hybridMultilevel"/>
    <w:tmpl w:val="AD3EBCB8"/>
    <w:lvl w:ilvl="0" w:tplc="E43C52DE">
      <w:numFmt w:val="bullet"/>
      <w:lvlText w:val="▪"/>
      <w:lvlJc w:val="left"/>
      <w:pPr>
        <w:ind w:left="1003" w:hanging="360"/>
      </w:pPr>
      <w:rPr>
        <w:rFonts w:ascii="Arial" w:eastAsiaTheme="minorEastAsia"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8">
    <w:nsid w:val="51FC03FB"/>
    <w:multiLevelType w:val="hybridMultilevel"/>
    <w:tmpl w:val="C7A0FB60"/>
    <w:lvl w:ilvl="0" w:tplc="9C36674E">
      <w:numFmt w:val="bullet"/>
      <w:lvlText w:val="▫"/>
      <w:lvlJc w:val="left"/>
      <w:pPr>
        <w:ind w:left="1854" w:hanging="360"/>
      </w:pPr>
      <w:rPr>
        <w:rFonts w:ascii="Arial" w:eastAsiaTheme="minorEastAsia" w:hAnsi="Arial"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9">
    <w:nsid w:val="59043B2A"/>
    <w:multiLevelType w:val="hybridMultilevel"/>
    <w:tmpl w:val="D0E8EDF4"/>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0">
    <w:nsid w:val="6168158B"/>
    <w:multiLevelType w:val="hybridMultilevel"/>
    <w:tmpl w:val="E2044DD6"/>
    <w:lvl w:ilvl="0" w:tplc="01B26186">
      <w:start w:val="1"/>
      <w:numFmt w:val="decimal"/>
      <w:pStyle w:val="Literaturverzeichnis"/>
      <w:lvlText w:val="%1."/>
      <w:lvlJc w:val="left"/>
      <w:pPr>
        <w:ind w:left="284" w:hanging="284"/>
      </w:pPr>
    </w:lvl>
    <w:lvl w:ilvl="1" w:tplc="04070019" w:tentative="1">
      <w:start w:val="1"/>
      <w:numFmt w:val="lowerLetter"/>
      <w:lvlText w:val="%2."/>
      <w:lvlJc w:val="left"/>
      <w:pPr>
        <w:ind w:left="360" w:hanging="360"/>
      </w:pPr>
    </w:lvl>
    <w:lvl w:ilvl="2" w:tplc="0407001B" w:tentative="1">
      <w:start w:val="1"/>
      <w:numFmt w:val="lowerRoman"/>
      <w:lvlText w:val="%3."/>
      <w:lvlJc w:val="right"/>
      <w:pPr>
        <w:ind w:left="720" w:hanging="360"/>
      </w:pPr>
    </w:lvl>
    <w:lvl w:ilvl="3" w:tplc="0407000F" w:tentative="1">
      <w:start w:val="1"/>
      <w:numFmt w:val="decimal"/>
      <w:lvlText w:val="%4."/>
      <w:lvlJc w:val="left"/>
      <w:pPr>
        <w:ind w:left="1080" w:hanging="360"/>
      </w:pPr>
    </w:lvl>
    <w:lvl w:ilvl="4" w:tplc="04070019" w:tentative="1">
      <w:start w:val="1"/>
      <w:numFmt w:val="lowerLetter"/>
      <w:lvlText w:val="%5."/>
      <w:lvlJc w:val="left"/>
      <w:pPr>
        <w:ind w:left="1440" w:hanging="360"/>
      </w:pPr>
    </w:lvl>
    <w:lvl w:ilvl="5" w:tplc="0407001B" w:tentative="1">
      <w:start w:val="1"/>
      <w:numFmt w:val="lowerRoman"/>
      <w:lvlText w:val="%6."/>
      <w:lvlJc w:val="right"/>
      <w:pPr>
        <w:ind w:left="1800" w:hanging="360"/>
      </w:pPr>
    </w:lvl>
    <w:lvl w:ilvl="6" w:tplc="0407000F" w:tentative="1">
      <w:start w:val="1"/>
      <w:numFmt w:val="decimal"/>
      <w:lvlText w:val="%7."/>
      <w:lvlJc w:val="left"/>
      <w:pPr>
        <w:ind w:left="2160" w:hanging="360"/>
      </w:pPr>
    </w:lvl>
    <w:lvl w:ilvl="7" w:tplc="04070019" w:tentative="1">
      <w:start w:val="1"/>
      <w:numFmt w:val="lowerLetter"/>
      <w:lvlText w:val="%8."/>
      <w:lvlJc w:val="left"/>
      <w:pPr>
        <w:ind w:left="2520" w:hanging="360"/>
      </w:pPr>
    </w:lvl>
    <w:lvl w:ilvl="8" w:tplc="0407001B" w:tentative="1">
      <w:start w:val="1"/>
      <w:numFmt w:val="lowerRoman"/>
      <w:lvlText w:val="%9."/>
      <w:lvlJc w:val="right"/>
      <w:pPr>
        <w:ind w:left="2880" w:hanging="180"/>
      </w:pPr>
    </w:lvl>
  </w:abstractNum>
  <w:abstractNum w:abstractNumId="21">
    <w:nsid w:val="6C1F2B84"/>
    <w:multiLevelType w:val="multilevel"/>
    <w:tmpl w:val="356A89A2"/>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22">
    <w:nsid w:val="77596466"/>
    <w:multiLevelType w:val="hybridMultilevel"/>
    <w:tmpl w:val="CEEAA048"/>
    <w:lvl w:ilvl="0" w:tplc="3A2026FC">
      <w:numFmt w:val="bullet"/>
      <w:lvlText w:val="–"/>
      <w:lvlJc w:val="left"/>
      <w:pPr>
        <w:ind w:left="1854" w:hanging="360"/>
      </w:pPr>
      <w:rPr>
        <w:rFonts w:ascii="OfficinaSans Book" w:eastAsiaTheme="minorEastAsia" w:hAnsi="OfficinaSans Book" w:cs="Times New Roman"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3">
    <w:nsid w:val="78D85848"/>
    <w:multiLevelType w:val="multilevel"/>
    <w:tmpl w:val="C8E81DD0"/>
    <w:lvl w:ilvl="0">
      <w:start w:val="1"/>
      <w:numFmt w:val="bullet"/>
      <w:pStyle w:val="Liste1"/>
      <w:lvlText w:val="•"/>
      <w:lvlJc w:val="left"/>
      <w:pPr>
        <w:ind w:left="284" w:hanging="284"/>
      </w:pPr>
      <w:rPr>
        <w:rFonts w:ascii="Arial" w:hAnsi="Arial" w:hint="default"/>
        <w:color w:val="auto"/>
        <w:u w:val="none"/>
      </w:rPr>
    </w:lvl>
    <w:lvl w:ilvl="1">
      <w:start w:val="1"/>
      <w:numFmt w:val="bullet"/>
      <w:pStyle w:val="Liste2"/>
      <w:lvlText w:val="•"/>
      <w:lvlJc w:val="left"/>
      <w:pPr>
        <w:ind w:left="568" w:hanging="284"/>
      </w:pPr>
      <w:rPr>
        <w:rFonts w:ascii="Arial" w:hAnsi="Arial" w:hint="default"/>
        <w:color w:val="auto"/>
        <w:u w:val="none"/>
      </w:rPr>
    </w:lvl>
    <w:lvl w:ilvl="2">
      <w:start w:val="1"/>
      <w:numFmt w:val="bullet"/>
      <w:pStyle w:val="Liste3"/>
      <w:lvlText w:val="•"/>
      <w:lvlJc w:val="left"/>
      <w:pPr>
        <w:ind w:left="851" w:hanging="284"/>
      </w:pPr>
      <w:rPr>
        <w:rFonts w:ascii="Arial" w:hAnsi="Arial" w:hint="default"/>
        <w:color w:val="auto"/>
        <w:u w:val="none"/>
      </w:rPr>
    </w:lvl>
    <w:lvl w:ilvl="3">
      <w:start w:val="1"/>
      <w:numFmt w:val="bullet"/>
      <w:pStyle w:val="Liste4"/>
      <w:lvlText w:val="•"/>
      <w:lvlJc w:val="left"/>
      <w:pPr>
        <w:ind w:left="1135" w:hanging="284"/>
      </w:pPr>
      <w:rPr>
        <w:rFonts w:ascii="Arial" w:hAnsi="Arial" w:hint="default"/>
        <w:color w:val="auto"/>
        <w:u w:val="none"/>
      </w:rPr>
    </w:lvl>
    <w:lvl w:ilvl="4">
      <w:start w:val="1"/>
      <w:numFmt w:val="bullet"/>
      <w:pStyle w:val="Liste5"/>
      <w:lvlText w:val="•"/>
      <w:lvlJc w:val="left"/>
      <w:pPr>
        <w:ind w:left="1418" w:hanging="284"/>
      </w:pPr>
      <w:rPr>
        <w:rFonts w:ascii="Arial" w:hAnsi="Arial" w:hint="default"/>
        <w:color w:val="auto"/>
        <w:u w:val="none"/>
      </w:rPr>
    </w:lvl>
    <w:lvl w:ilvl="5">
      <w:start w:val="1"/>
      <w:numFmt w:val="bullet"/>
      <w:lvlText w:val="•"/>
      <w:lvlJc w:val="left"/>
      <w:pPr>
        <w:ind w:left="5454" w:hanging="360"/>
      </w:pPr>
      <w:rPr>
        <w:rFonts w:ascii="Arial" w:hAnsi="Arial" w:hint="default"/>
        <w:color w:val="auto"/>
        <w:u w:val="none"/>
      </w:rPr>
    </w:lvl>
    <w:lvl w:ilvl="6">
      <w:start w:val="1"/>
      <w:numFmt w:val="bullet"/>
      <w:lvlText w:val="o"/>
      <w:lvlJc w:val="left"/>
      <w:pPr>
        <w:ind w:left="6174" w:hanging="360"/>
      </w:pPr>
      <w:rPr>
        <w:rFonts w:ascii="Courier New" w:hAnsi="Courier New" w:cs="Courier New"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num w:numId="1">
    <w:abstractNumId w:val="19"/>
  </w:num>
  <w:num w:numId="2">
    <w:abstractNumId w:val="13"/>
  </w:num>
  <w:num w:numId="3">
    <w:abstractNumId w:val="22"/>
  </w:num>
  <w:num w:numId="4">
    <w:abstractNumId w:val="12"/>
  </w:num>
  <w:num w:numId="5">
    <w:abstractNumId w:val="23"/>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0"/>
  </w:num>
  <w:num w:numId="20">
    <w:abstractNumId w:val="11"/>
  </w:num>
  <w:num w:numId="21">
    <w:abstractNumId w:val="16"/>
  </w:num>
  <w:num w:numId="22">
    <w:abstractNumId w:val="21"/>
  </w:num>
  <w:num w:numId="23">
    <w:abstractNumId w:val="15"/>
  </w:num>
  <w:num w:numId="24">
    <w:abstractNumId w:val="18"/>
  </w:num>
  <w:num w:numId="25">
    <w:abstractNumId w:val="14"/>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6">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AD"/>
    <w:rsid w:val="00012F1A"/>
    <w:rsid w:val="00031D9A"/>
    <w:rsid w:val="00050EDB"/>
    <w:rsid w:val="00083803"/>
    <w:rsid w:val="00097450"/>
    <w:rsid w:val="000A738A"/>
    <w:rsid w:val="000E1AE0"/>
    <w:rsid w:val="000F39B7"/>
    <w:rsid w:val="00102CD8"/>
    <w:rsid w:val="00114662"/>
    <w:rsid w:val="0012445E"/>
    <w:rsid w:val="00147220"/>
    <w:rsid w:val="00155D97"/>
    <w:rsid w:val="00163646"/>
    <w:rsid w:val="00180E25"/>
    <w:rsid w:val="00187EBC"/>
    <w:rsid w:val="001900D1"/>
    <w:rsid w:val="001C303D"/>
    <w:rsid w:val="001D47A5"/>
    <w:rsid w:val="001D4B06"/>
    <w:rsid w:val="001F17D1"/>
    <w:rsid w:val="00213871"/>
    <w:rsid w:val="00214BA4"/>
    <w:rsid w:val="00244857"/>
    <w:rsid w:val="00246C90"/>
    <w:rsid w:val="00247236"/>
    <w:rsid w:val="00266CB3"/>
    <w:rsid w:val="00272F88"/>
    <w:rsid w:val="00273545"/>
    <w:rsid w:val="002A730E"/>
    <w:rsid w:val="002C3462"/>
    <w:rsid w:val="002D10E3"/>
    <w:rsid w:val="002E0689"/>
    <w:rsid w:val="002E5A90"/>
    <w:rsid w:val="00305666"/>
    <w:rsid w:val="00337970"/>
    <w:rsid w:val="00343B6F"/>
    <w:rsid w:val="00345865"/>
    <w:rsid w:val="00357AA0"/>
    <w:rsid w:val="00357FC1"/>
    <w:rsid w:val="00377C3F"/>
    <w:rsid w:val="003A024A"/>
    <w:rsid w:val="003F1495"/>
    <w:rsid w:val="003F336B"/>
    <w:rsid w:val="004345D1"/>
    <w:rsid w:val="00437982"/>
    <w:rsid w:val="00447F33"/>
    <w:rsid w:val="00472659"/>
    <w:rsid w:val="00480D85"/>
    <w:rsid w:val="00484826"/>
    <w:rsid w:val="004D5DF8"/>
    <w:rsid w:val="004E798D"/>
    <w:rsid w:val="004F23AB"/>
    <w:rsid w:val="004F2E3D"/>
    <w:rsid w:val="00522E3C"/>
    <w:rsid w:val="00536018"/>
    <w:rsid w:val="00591C16"/>
    <w:rsid w:val="005A591E"/>
    <w:rsid w:val="005B6B8B"/>
    <w:rsid w:val="005C3C88"/>
    <w:rsid w:val="005D44B6"/>
    <w:rsid w:val="00602849"/>
    <w:rsid w:val="00602850"/>
    <w:rsid w:val="00602851"/>
    <w:rsid w:val="006061E5"/>
    <w:rsid w:val="00610813"/>
    <w:rsid w:val="006372F5"/>
    <w:rsid w:val="00637CC9"/>
    <w:rsid w:val="00645E80"/>
    <w:rsid w:val="006547A8"/>
    <w:rsid w:val="006778AD"/>
    <w:rsid w:val="0071151D"/>
    <w:rsid w:val="00713E81"/>
    <w:rsid w:val="00721064"/>
    <w:rsid w:val="00735691"/>
    <w:rsid w:val="007541DE"/>
    <w:rsid w:val="00766736"/>
    <w:rsid w:val="00766A3A"/>
    <w:rsid w:val="007677CE"/>
    <w:rsid w:val="0078483F"/>
    <w:rsid w:val="0079542D"/>
    <w:rsid w:val="00795478"/>
    <w:rsid w:val="007A3900"/>
    <w:rsid w:val="007B6DCF"/>
    <w:rsid w:val="007C3571"/>
    <w:rsid w:val="007F0B97"/>
    <w:rsid w:val="008104CC"/>
    <w:rsid w:val="00810EAF"/>
    <w:rsid w:val="00854032"/>
    <w:rsid w:val="00856B86"/>
    <w:rsid w:val="0086320B"/>
    <w:rsid w:val="008660E0"/>
    <w:rsid w:val="0088061D"/>
    <w:rsid w:val="008851B3"/>
    <w:rsid w:val="008C0BA7"/>
    <w:rsid w:val="008E17AA"/>
    <w:rsid w:val="008F0037"/>
    <w:rsid w:val="00913A5D"/>
    <w:rsid w:val="00925E85"/>
    <w:rsid w:val="00944557"/>
    <w:rsid w:val="009609C7"/>
    <w:rsid w:val="00976FE8"/>
    <w:rsid w:val="0098473E"/>
    <w:rsid w:val="00984FE8"/>
    <w:rsid w:val="0098727B"/>
    <w:rsid w:val="009933A2"/>
    <w:rsid w:val="00994766"/>
    <w:rsid w:val="009960EA"/>
    <w:rsid w:val="009A0161"/>
    <w:rsid w:val="009B4A14"/>
    <w:rsid w:val="009C30F4"/>
    <w:rsid w:val="009E5408"/>
    <w:rsid w:val="00A07AC7"/>
    <w:rsid w:val="00A273C3"/>
    <w:rsid w:val="00A612E4"/>
    <w:rsid w:val="00A658BE"/>
    <w:rsid w:val="00A67EE2"/>
    <w:rsid w:val="00A861F1"/>
    <w:rsid w:val="00A90FC6"/>
    <w:rsid w:val="00A93717"/>
    <w:rsid w:val="00AB29B3"/>
    <w:rsid w:val="00AC01EA"/>
    <w:rsid w:val="00B12CEE"/>
    <w:rsid w:val="00B17347"/>
    <w:rsid w:val="00B345A9"/>
    <w:rsid w:val="00B50A47"/>
    <w:rsid w:val="00B517CF"/>
    <w:rsid w:val="00B53F27"/>
    <w:rsid w:val="00B642DC"/>
    <w:rsid w:val="00B725F1"/>
    <w:rsid w:val="00B775FE"/>
    <w:rsid w:val="00BB776C"/>
    <w:rsid w:val="00BD16C7"/>
    <w:rsid w:val="00BD3524"/>
    <w:rsid w:val="00BD3BC1"/>
    <w:rsid w:val="00BD4556"/>
    <w:rsid w:val="00BF5C6E"/>
    <w:rsid w:val="00BF607F"/>
    <w:rsid w:val="00C02512"/>
    <w:rsid w:val="00C24559"/>
    <w:rsid w:val="00C37EF5"/>
    <w:rsid w:val="00C7334A"/>
    <w:rsid w:val="00C8304A"/>
    <w:rsid w:val="00CA06AE"/>
    <w:rsid w:val="00CA3E20"/>
    <w:rsid w:val="00CC5326"/>
    <w:rsid w:val="00CD122D"/>
    <w:rsid w:val="00CD5FA7"/>
    <w:rsid w:val="00D1311E"/>
    <w:rsid w:val="00D32499"/>
    <w:rsid w:val="00D537A4"/>
    <w:rsid w:val="00D666D6"/>
    <w:rsid w:val="00D94572"/>
    <w:rsid w:val="00D95A79"/>
    <w:rsid w:val="00D96FBC"/>
    <w:rsid w:val="00DA664C"/>
    <w:rsid w:val="00DC5D8D"/>
    <w:rsid w:val="00DE7C21"/>
    <w:rsid w:val="00DF0910"/>
    <w:rsid w:val="00E15971"/>
    <w:rsid w:val="00E20DC1"/>
    <w:rsid w:val="00E2554F"/>
    <w:rsid w:val="00E52D05"/>
    <w:rsid w:val="00E55DF6"/>
    <w:rsid w:val="00E7654A"/>
    <w:rsid w:val="00ED3593"/>
    <w:rsid w:val="00F20033"/>
    <w:rsid w:val="00F556D1"/>
    <w:rsid w:val="00F55A89"/>
    <w:rsid w:val="00F622BE"/>
    <w:rsid w:val="00F729C2"/>
    <w:rsid w:val="00F73A94"/>
    <w:rsid w:val="00F77019"/>
    <w:rsid w:val="00F97BA9"/>
    <w:rsid w:val="00FA36E3"/>
    <w:rsid w:val="00FA658B"/>
    <w:rsid w:val="00FB0232"/>
    <w:rsid w:val="00FB176D"/>
    <w:rsid w:val="00FC67DD"/>
    <w:rsid w:val="00FD6902"/>
    <w:rsid w:val="00FE6F52"/>
    <w:rsid w:val="00FF0C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de-DE" w:eastAsia="en-US" w:bidi="ar-SA"/>
      </w:rPr>
    </w:rPrDefault>
    <w:pPrDefault>
      <w:pPr>
        <w:spacing w:after="120"/>
        <w:ind w:left="1134" w:hanging="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w:unhideWhenUsed="0"/>
    <w:lsdException w:name="List Number" w:qFormat="1"/>
    <w:lsdException w:name="List 2" w:semiHidden="0" w:unhideWhenUsed="0"/>
    <w:lsdException w:name="List 3" w:unhideWhenUsed="0"/>
    <w:lsdException w:name="List 4" w:unhideWhenUsed="0"/>
    <w:lsdException w:name="List 5" w:unhideWhenUsed="0"/>
    <w:lsdException w:name="Title" w:semiHidden="0" w:uiPriority="10" w:unhideWhenUsed="0" w:qFormat="1"/>
    <w:lsdException w:name="Default Paragraph Font" w:uiPriority="1" w:qFormat="1"/>
    <w:lsdException w:name="List Continue"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02CD8"/>
    <w:pPr>
      <w:ind w:left="0" w:firstLine="0"/>
    </w:pPr>
    <w:rPr>
      <w:rFonts w:ascii="Arial" w:hAnsi="Arial"/>
      <w:sz w:val="20"/>
    </w:rPr>
  </w:style>
  <w:style w:type="paragraph" w:styleId="berschrift1">
    <w:name w:val="heading 1"/>
    <w:basedOn w:val="Standard"/>
    <w:next w:val="Standard"/>
    <w:link w:val="berschrift1Zchn"/>
    <w:uiPriority w:val="9"/>
    <w:qFormat/>
    <w:rsid w:val="00AC01EA"/>
    <w:pPr>
      <w:keepNext/>
      <w:keepLines/>
      <w:numPr>
        <w:numId w:val="22"/>
      </w:numPr>
      <w:tabs>
        <w:tab w:val="left" w:pos="1134"/>
      </w:tabs>
      <w:spacing w:before="120"/>
      <w:outlineLvl w:val="0"/>
    </w:pPr>
    <w:rPr>
      <w:rFonts w:asciiTheme="majorHAnsi" w:eastAsiaTheme="majorEastAsia" w:hAnsiTheme="majorHAnsi" w:cstheme="majorBidi"/>
      <w:color w:val="7F7F7F" w:themeColor="text1"/>
      <w:sz w:val="28"/>
      <w:szCs w:val="32"/>
    </w:rPr>
  </w:style>
  <w:style w:type="paragraph" w:styleId="berschrift2">
    <w:name w:val="heading 2"/>
    <w:basedOn w:val="Standard"/>
    <w:next w:val="Standard"/>
    <w:link w:val="berschrift2Zchn"/>
    <w:uiPriority w:val="9"/>
    <w:unhideWhenUsed/>
    <w:qFormat/>
    <w:rsid w:val="00AB29B3"/>
    <w:pPr>
      <w:keepNext/>
      <w:keepLines/>
      <w:numPr>
        <w:ilvl w:val="1"/>
        <w:numId w:val="22"/>
      </w:numPr>
      <w:tabs>
        <w:tab w:val="left" w:pos="1134"/>
      </w:tabs>
      <w:spacing w:before="120"/>
      <w:contextualSpacing/>
      <w:outlineLvl w:val="1"/>
    </w:pPr>
    <w:rPr>
      <w:rFonts w:asciiTheme="majorHAnsi" w:eastAsiaTheme="majorEastAsia" w:hAnsiTheme="majorHAnsi" w:cstheme="majorBidi"/>
      <w:color w:val="7F7F7F" w:themeColor="text1"/>
      <w:sz w:val="26"/>
      <w:szCs w:val="26"/>
    </w:rPr>
  </w:style>
  <w:style w:type="paragraph" w:styleId="berschrift3">
    <w:name w:val="heading 3"/>
    <w:basedOn w:val="Standard"/>
    <w:next w:val="Standard"/>
    <w:link w:val="berschrift3Zchn"/>
    <w:uiPriority w:val="9"/>
    <w:unhideWhenUsed/>
    <w:qFormat/>
    <w:rsid w:val="00AB29B3"/>
    <w:pPr>
      <w:keepNext/>
      <w:keepLines/>
      <w:numPr>
        <w:ilvl w:val="2"/>
        <w:numId w:val="22"/>
      </w:numPr>
      <w:tabs>
        <w:tab w:val="left" w:pos="1134"/>
      </w:tabs>
      <w:spacing w:before="40"/>
      <w:outlineLvl w:val="2"/>
    </w:pPr>
    <w:rPr>
      <w:rFonts w:asciiTheme="majorHAnsi" w:eastAsiaTheme="majorEastAsia" w:hAnsiTheme="majorHAnsi" w:cstheme="majorBidi"/>
      <w:color w:val="7F7F7F" w:themeColor="text1"/>
      <w:sz w:val="24"/>
      <w:szCs w:val="24"/>
    </w:rPr>
  </w:style>
  <w:style w:type="paragraph" w:styleId="berschrift4">
    <w:name w:val="heading 4"/>
    <w:basedOn w:val="Standard"/>
    <w:next w:val="Standard"/>
    <w:link w:val="berschrift4Zchn"/>
    <w:uiPriority w:val="9"/>
    <w:unhideWhenUsed/>
    <w:qFormat/>
    <w:rsid w:val="00AB29B3"/>
    <w:pPr>
      <w:keepNext/>
      <w:keepLines/>
      <w:numPr>
        <w:ilvl w:val="3"/>
        <w:numId w:val="22"/>
      </w:numPr>
      <w:tabs>
        <w:tab w:val="left" w:pos="1134"/>
      </w:tabs>
      <w:spacing w:before="120"/>
      <w:contextualSpacing/>
      <w:outlineLvl w:val="3"/>
    </w:pPr>
    <w:rPr>
      <w:rFonts w:asciiTheme="majorHAnsi" w:eastAsiaTheme="majorEastAsia" w:hAnsiTheme="majorHAnsi" w:cstheme="majorBidi"/>
      <w:iCs/>
      <w:color w:val="7F7F7F" w:themeColor="text1"/>
    </w:rPr>
  </w:style>
  <w:style w:type="paragraph" w:styleId="berschrift5">
    <w:name w:val="heading 5"/>
    <w:basedOn w:val="Standard"/>
    <w:next w:val="Standard"/>
    <w:link w:val="berschrift5Zchn"/>
    <w:uiPriority w:val="9"/>
    <w:unhideWhenUsed/>
    <w:qFormat/>
    <w:rsid w:val="00AB29B3"/>
    <w:pPr>
      <w:keepNext/>
      <w:keepLines/>
      <w:numPr>
        <w:ilvl w:val="4"/>
        <w:numId w:val="22"/>
      </w:numPr>
      <w:tabs>
        <w:tab w:val="left" w:pos="1134"/>
      </w:tabs>
      <w:spacing w:before="120"/>
      <w:contextualSpacing/>
      <w:outlineLvl w:val="4"/>
    </w:pPr>
    <w:rPr>
      <w:rFonts w:asciiTheme="majorHAnsi" w:eastAsiaTheme="majorEastAsia" w:hAnsiTheme="majorHAnsi" w:cstheme="majorBidi"/>
      <w:i/>
      <w:color w:val="7F7F7F" w:themeColor="text1"/>
    </w:rPr>
  </w:style>
  <w:style w:type="paragraph" w:styleId="berschrift6">
    <w:name w:val="heading 6"/>
    <w:basedOn w:val="Standard"/>
    <w:next w:val="Standard"/>
    <w:link w:val="berschrift6Zchn"/>
    <w:uiPriority w:val="9"/>
    <w:semiHidden/>
    <w:qFormat/>
    <w:rsid w:val="00CA06AE"/>
    <w:pPr>
      <w:keepNext/>
      <w:keepLines/>
      <w:numPr>
        <w:ilvl w:val="5"/>
        <w:numId w:val="22"/>
      </w:numPr>
      <w:spacing w:before="40" w:after="0"/>
      <w:outlineLvl w:val="5"/>
    </w:pPr>
    <w:rPr>
      <w:rFonts w:asciiTheme="majorHAnsi" w:eastAsiaTheme="majorEastAsia" w:hAnsiTheme="majorHAnsi" w:cstheme="majorBidi"/>
      <w:color w:val="005727" w:themeColor="accent1" w:themeShade="7F"/>
    </w:rPr>
  </w:style>
  <w:style w:type="paragraph" w:styleId="berschrift7">
    <w:name w:val="heading 7"/>
    <w:basedOn w:val="Standard"/>
    <w:next w:val="Standard"/>
    <w:link w:val="berschrift7Zchn"/>
    <w:uiPriority w:val="9"/>
    <w:semiHidden/>
    <w:qFormat/>
    <w:rsid w:val="00CA06AE"/>
    <w:pPr>
      <w:keepNext/>
      <w:keepLines/>
      <w:numPr>
        <w:ilvl w:val="6"/>
        <w:numId w:val="22"/>
      </w:numPr>
      <w:spacing w:before="40" w:after="0"/>
      <w:outlineLvl w:val="6"/>
    </w:pPr>
    <w:rPr>
      <w:rFonts w:asciiTheme="majorHAnsi" w:eastAsiaTheme="majorEastAsia" w:hAnsiTheme="majorHAnsi" w:cstheme="majorBidi"/>
      <w:i/>
      <w:iCs/>
      <w:color w:val="005727" w:themeColor="accent1" w:themeShade="7F"/>
    </w:rPr>
  </w:style>
  <w:style w:type="paragraph" w:styleId="berschrift8">
    <w:name w:val="heading 8"/>
    <w:basedOn w:val="Standard"/>
    <w:next w:val="Standard"/>
    <w:link w:val="berschrift8Zchn"/>
    <w:uiPriority w:val="9"/>
    <w:semiHidden/>
    <w:qFormat/>
    <w:rsid w:val="00CA06AE"/>
    <w:pPr>
      <w:keepNext/>
      <w:keepLines/>
      <w:numPr>
        <w:ilvl w:val="7"/>
        <w:numId w:val="22"/>
      </w:numPr>
      <w:spacing w:before="40" w:after="0"/>
      <w:outlineLvl w:val="7"/>
    </w:pPr>
    <w:rPr>
      <w:rFonts w:asciiTheme="majorHAnsi" w:eastAsiaTheme="majorEastAsia" w:hAnsiTheme="majorHAnsi" w:cstheme="majorBidi"/>
      <w:color w:val="929292" w:themeColor="text1" w:themeTint="D8"/>
      <w:sz w:val="21"/>
      <w:szCs w:val="21"/>
    </w:rPr>
  </w:style>
  <w:style w:type="paragraph" w:styleId="berschrift9">
    <w:name w:val="heading 9"/>
    <w:basedOn w:val="Standard"/>
    <w:next w:val="Standard"/>
    <w:link w:val="berschrift9Zchn"/>
    <w:uiPriority w:val="9"/>
    <w:semiHidden/>
    <w:qFormat/>
    <w:rsid w:val="00CA06AE"/>
    <w:pPr>
      <w:keepNext/>
      <w:keepLines/>
      <w:numPr>
        <w:ilvl w:val="8"/>
        <w:numId w:val="22"/>
      </w:numPr>
      <w:spacing w:before="40" w:after="0"/>
      <w:outlineLvl w:val="8"/>
    </w:pPr>
    <w:rPr>
      <w:rFonts w:asciiTheme="majorHAnsi" w:eastAsiaTheme="majorEastAsia" w:hAnsiTheme="majorHAnsi" w:cstheme="majorBidi"/>
      <w:i/>
      <w:iCs/>
      <w:color w:val="929292"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5478"/>
    <w:pPr>
      <w:tabs>
        <w:tab w:val="center" w:pos="4820"/>
        <w:tab w:val="right" w:pos="9639"/>
      </w:tabs>
      <w:spacing w:after="0"/>
    </w:pPr>
    <w:rPr>
      <w:rFonts w:asciiTheme="minorHAnsi" w:hAnsiTheme="minorHAnsi"/>
      <w:sz w:val="16"/>
    </w:rPr>
  </w:style>
  <w:style w:type="character" w:customStyle="1" w:styleId="KopfzeileZchn">
    <w:name w:val="Kopfzeile Zchn"/>
    <w:basedOn w:val="Absatz-Standardschriftart"/>
    <w:link w:val="Kopfzeile"/>
    <w:uiPriority w:val="99"/>
    <w:rsid w:val="00795478"/>
    <w:rPr>
      <w:rFonts w:asciiTheme="minorHAnsi" w:hAnsiTheme="minorHAnsi"/>
      <w:sz w:val="16"/>
    </w:rPr>
  </w:style>
  <w:style w:type="paragraph" w:styleId="Fuzeile">
    <w:name w:val="footer"/>
    <w:basedOn w:val="Standard"/>
    <w:link w:val="FuzeileZchn"/>
    <w:uiPriority w:val="99"/>
    <w:unhideWhenUsed/>
    <w:rsid w:val="00522E3C"/>
    <w:pPr>
      <w:tabs>
        <w:tab w:val="right" w:pos="9639"/>
      </w:tabs>
      <w:spacing w:after="0"/>
    </w:pPr>
    <w:rPr>
      <w:rFonts w:asciiTheme="minorHAnsi" w:hAnsiTheme="minorHAnsi"/>
      <w:sz w:val="16"/>
    </w:rPr>
  </w:style>
  <w:style w:type="character" w:customStyle="1" w:styleId="FuzeileZchn">
    <w:name w:val="Fußzeile Zchn"/>
    <w:basedOn w:val="Absatz-Standardschriftart"/>
    <w:link w:val="Fuzeile"/>
    <w:uiPriority w:val="99"/>
    <w:rsid w:val="005C3C88"/>
    <w:rPr>
      <w:rFonts w:asciiTheme="minorHAnsi" w:hAnsiTheme="minorHAnsi"/>
      <w:sz w:val="16"/>
    </w:rPr>
  </w:style>
  <w:style w:type="paragraph" w:styleId="Titel">
    <w:name w:val="Title"/>
    <w:basedOn w:val="Standard"/>
    <w:next w:val="Standard"/>
    <w:link w:val="TitelZchn"/>
    <w:uiPriority w:val="10"/>
    <w:qFormat/>
    <w:rsid w:val="00012F1A"/>
    <w:pPr>
      <w:keepNext/>
      <w:keepLines/>
      <w:contextualSpacing/>
    </w:pPr>
    <w:rPr>
      <w:rFonts w:eastAsiaTheme="majorEastAsia" w:cstheme="majorBidi"/>
      <w:color w:val="FFFFFF" w:themeColor="background1"/>
      <w:spacing w:val="-10"/>
      <w:kern w:val="28"/>
      <w:sz w:val="56"/>
      <w:szCs w:val="56"/>
    </w:rPr>
  </w:style>
  <w:style w:type="character" w:customStyle="1" w:styleId="TitelZchn">
    <w:name w:val="Titel Zchn"/>
    <w:basedOn w:val="Absatz-Standardschriftart"/>
    <w:link w:val="Titel"/>
    <w:uiPriority w:val="10"/>
    <w:rsid w:val="00012F1A"/>
    <w:rPr>
      <w:rFonts w:ascii="Arial" w:eastAsiaTheme="majorEastAsia" w:hAnsi="Arial" w:cstheme="majorBidi"/>
      <w:color w:val="FFFFFF" w:themeColor="background1"/>
      <w:spacing w:val="-10"/>
      <w:kern w:val="28"/>
      <w:sz w:val="56"/>
      <w:szCs w:val="56"/>
    </w:rPr>
  </w:style>
  <w:style w:type="character" w:customStyle="1" w:styleId="berschrift4Zchn">
    <w:name w:val="Überschrift 4 Zchn"/>
    <w:basedOn w:val="Absatz-Standardschriftart"/>
    <w:link w:val="berschrift4"/>
    <w:uiPriority w:val="9"/>
    <w:rsid w:val="00AB29B3"/>
    <w:rPr>
      <w:rFonts w:eastAsiaTheme="majorEastAsia" w:cstheme="majorBidi"/>
      <w:iCs/>
      <w:color w:val="7F7F7F" w:themeColor="text1"/>
      <w:sz w:val="20"/>
    </w:rPr>
  </w:style>
  <w:style w:type="character" w:customStyle="1" w:styleId="berschrift1Zchn">
    <w:name w:val="Überschrift 1 Zchn"/>
    <w:basedOn w:val="Absatz-Standardschriftart"/>
    <w:link w:val="berschrift1"/>
    <w:uiPriority w:val="9"/>
    <w:rsid w:val="00AB29B3"/>
    <w:rPr>
      <w:rFonts w:eastAsiaTheme="majorEastAsia" w:cstheme="majorBidi"/>
      <w:color w:val="7F7F7F" w:themeColor="text1"/>
      <w:sz w:val="28"/>
      <w:szCs w:val="32"/>
    </w:rPr>
  </w:style>
  <w:style w:type="character" w:customStyle="1" w:styleId="berschrift2Zchn">
    <w:name w:val="Überschrift 2 Zchn"/>
    <w:basedOn w:val="Absatz-Standardschriftart"/>
    <w:link w:val="berschrift2"/>
    <w:uiPriority w:val="9"/>
    <w:rsid w:val="00AB29B3"/>
    <w:rPr>
      <w:rFonts w:eastAsiaTheme="majorEastAsia" w:cstheme="majorBidi"/>
      <w:color w:val="7F7F7F" w:themeColor="text1"/>
      <w:sz w:val="26"/>
      <w:szCs w:val="26"/>
    </w:rPr>
  </w:style>
  <w:style w:type="character" w:customStyle="1" w:styleId="berschrift3Zchn">
    <w:name w:val="Überschrift 3 Zchn"/>
    <w:basedOn w:val="Absatz-Standardschriftart"/>
    <w:link w:val="berschrift3"/>
    <w:uiPriority w:val="9"/>
    <w:rsid w:val="00AB29B3"/>
    <w:rPr>
      <w:rFonts w:eastAsiaTheme="majorEastAsia" w:cstheme="majorBidi"/>
      <w:color w:val="7F7F7F" w:themeColor="text1"/>
      <w:sz w:val="24"/>
      <w:szCs w:val="24"/>
    </w:rPr>
  </w:style>
  <w:style w:type="character" w:customStyle="1" w:styleId="berschrift5Zchn">
    <w:name w:val="Überschrift 5 Zchn"/>
    <w:basedOn w:val="Absatz-Standardschriftart"/>
    <w:link w:val="berschrift5"/>
    <w:uiPriority w:val="9"/>
    <w:rsid w:val="00AB29B3"/>
    <w:rPr>
      <w:rFonts w:eastAsiaTheme="majorEastAsia" w:cstheme="majorBidi"/>
      <w:i/>
      <w:color w:val="7F7F7F" w:themeColor="text1"/>
      <w:sz w:val="20"/>
    </w:rPr>
  </w:style>
  <w:style w:type="character" w:styleId="Fett">
    <w:name w:val="Strong"/>
    <w:basedOn w:val="Absatz-Standardschriftart"/>
    <w:uiPriority w:val="22"/>
    <w:qFormat/>
    <w:rsid w:val="00E52D05"/>
    <w:rPr>
      <w:b/>
      <w:bCs/>
    </w:rPr>
  </w:style>
  <w:style w:type="paragraph" w:customStyle="1" w:styleId="Listeneinfhrung">
    <w:name w:val="Listeneinführung"/>
    <w:basedOn w:val="Standard"/>
    <w:next w:val="Liste1"/>
    <w:qFormat/>
    <w:rsid w:val="00244857"/>
    <w:pPr>
      <w:keepNext/>
      <w:keepLines/>
      <w:contextualSpacing/>
    </w:pPr>
  </w:style>
  <w:style w:type="paragraph" w:styleId="Untertitel">
    <w:name w:val="Subtitle"/>
    <w:basedOn w:val="Standard"/>
    <w:next w:val="Standard"/>
    <w:link w:val="UntertitelZchn"/>
    <w:uiPriority w:val="11"/>
    <w:rsid w:val="00522E3C"/>
    <w:pPr>
      <w:numPr>
        <w:ilvl w:val="1"/>
      </w:numPr>
      <w:spacing w:after="160" w:line="259" w:lineRule="auto"/>
    </w:pPr>
    <w:rPr>
      <w:rFonts w:asciiTheme="minorHAnsi" w:eastAsiaTheme="minorEastAsia" w:hAnsiTheme="minorHAnsi" w:cs="Times New Roman"/>
      <w:color w:val="ACACAC" w:themeColor="text1" w:themeTint="A5"/>
      <w:spacing w:val="15"/>
      <w:sz w:val="22"/>
      <w:lang w:eastAsia="de-DE"/>
    </w:rPr>
  </w:style>
  <w:style w:type="character" w:customStyle="1" w:styleId="UntertitelZchn">
    <w:name w:val="Untertitel Zchn"/>
    <w:basedOn w:val="Absatz-Standardschriftart"/>
    <w:link w:val="Untertitel"/>
    <w:uiPriority w:val="11"/>
    <w:rsid w:val="00522E3C"/>
    <w:rPr>
      <w:rFonts w:asciiTheme="minorHAnsi" w:eastAsiaTheme="minorEastAsia" w:hAnsiTheme="minorHAnsi" w:cs="Times New Roman"/>
      <w:color w:val="ACACAC" w:themeColor="text1" w:themeTint="A5"/>
      <w:spacing w:val="15"/>
      <w:lang w:eastAsia="de-DE"/>
    </w:rPr>
  </w:style>
  <w:style w:type="paragraph" w:customStyle="1" w:styleId="LL-Autoren">
    <w:name w:val="LL-Autoren"/>
    <w:basedOn w:val="Standard"/>
    <w:rsid w:val="00522E3C"/>
    <w:rPr>
      <w:color w:val="7F7F7F" w:themeColor="text1"/>
    </w:rPr>
  </w:style>
  <w:style w:type="paragraph" w:customStyle="1" w:styleId="LLAutoren-berschrift">
    <w:name w:val="LLAutoren-Überschrift"/>
    <w:basedOn w:val="LL-Autoren"/>
    <w:rsid w:val="00B53F27"/>
    <w:pPr>
      <w:spacing w:before="360"/>
    </w:pPr>
    <w:rPr>
      <w:b/>
    </w:rPr>
  </w:style>
  <w:style w:type="paragraph" w:customStyle="1" w:styleId="Metadaten">
    <w:name w:val="Metadaten"/>
    <w:basedOn w:val="Standard"/>
    <w:rsid w:val="00A612E4"/>
    <w:pPr>
      <w:spacing w:before="120"/>
      <w:ind w:left="720"/>
      <w:contextualSpacing/>
      <w:jc w:val="right"/>
    </w:pPr>
    <w:rPr>
      <w:color w:val="FFFFFF" w:themeColor="background1"/>
      <w:sz w:val="24"/>
    </w:rPr>
  </w:style>
  <w:style w:type="table" w:styleId="Tabellenraster">
    <w:name w:val="Table Grid"/>
    <w:basedOn w:val="NormaleTabelle"/>
    <w:uiPriority w:val="39"/>
    <w:rsid w:val="00DA664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mithellemGitternetz1">
    <w:name w:val="Tabelle mit hellem Gitternetz1"/>
    <w:basedOn w:val="NormaleTabelle"/>
    <w:uiPriority w:val="40"/>
    <w:rsid w:val="00DA664C"/>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ellenkopf">
    <w:name w:val="Tabellenkopf"/>
    <w:basedOn w:val="Standard"/>
    <w:qFormat/>
    <w:rsid w:val="00FE6F52"/>
    <w:pPr>
      <w:contextualSpacing/>
      <w:jc w:val="center"/>
    </w:pPr>
    <w:rPr>
      <w:b/>
      <w:sz w:val="19"/>
    </w:rPr>
  </w:style>
  <w:style w:type="paragraph" w:customStyle="1" w:styleId="Tabellenbody">
    <w:name w:val="Tabellenbody"/>
    <w:basedOn w:val="Standard"/>
    <w:qFormat/>
    <w:rsid w:val="00B775FE"/>
    <w:pPr>
      <w:contextualSpacing/>
    </w:pPr>
    <w:rPr>
      <w:sz w:val="19"/>
    </w:rPr>
  </w:style>
  <w:style w:type="table" w:customStyle="1" w:styleId="TabelleInSpalte">
    <w:name w:val="TabelleInSpalte"/>
    <w:basedOn w:val="NormaleTabelle"/>
    <w:uiPriority w:val="99"/>
    <w:rsid w:val="00D32499"/>
    <w:pPr>
      <w:spacing w:after="0"/>
      <w:ind w:left="0" w:firstLine="0"/>
    </w:pPr>
    <w:tblPr>
      <w:tblInd w:w="11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shd w:val="clear" w:color="auto" w:fill="auto"/>
    </w:tcPr>
    <w:tblStylePr w:type="firstRow">
      <w:rPr>
        <w:b w:val="0"/>
      </w:rPr>
      <w:tblPr/>
      <w:trPr>
        <w:cantSplit/>
      </w:trPr>
      <w:tcPr>
        <w:shd w:val="clear" w:color="auto" w:fill="DBEBD0" w:themeFill="accent6"/>
      </w:tcPr>
    </w:tblStylePr>
  </w:style>
  <w:style w:type="character" w:customStyle="1" w:styleId="TherapieNeu">
    <w:name w:val="TherapieNeu"/>
    <w:basedOn w:val="Absatz-Standardschriftart"/>
    <w:uiPriority w:val="1"/>
    <w:qFormat/>
    <w:rsid w:val="00305666"/>
    <w:rPr>
      <w:color w:val="00B050" w:themeColor="accent1"/>
    </w:rPr>
  </w:style>
  <w:style w:type="character" w:customStyle="1" w:styleId="TherapieVergleich">
    <w:name w:val="TherapieVergleich"/>
    <w:basedOn w:val="Absatz-Standardschriftart"/>
    <w:uiPriority w:val="1"/>
    <w:qFormat/>
    <w:rsid w:val="00305666"/>
    <w:rPr>
      <w:color w:val="FF0000" w:themeColor="accent2"/>
    </w:rPr>
  </w:style>
  <w:style w:type="paragraph" w:styleId="Endnotentext">
    <w:name w:val="endnote text"/>
    <w:basedOn w:val="Standard"/>
    <w:link w:val="EndnotentextZchn"/>
    <w:uiPriority w:val="99"/>
    <w:semiHidden/>
    <w:unhideWhenUsed/>
    <w:rsid w:val="007A3900"/>
    <w:pPr>
      <w:spacing w:after="0"/>
    </w:pPr>
    <w:rPr>
      <w:szCs w:val="20"/>
    </w:rPr>
  </w:style>
  <w:style w:type="character" w:customStyle="1" w:styleId="EndnotentextZchn">
    <w:name w:val="Endnotentext Zchn"/>
    <w:basedOn w:val="Absatz-Standardschriftart"/>
    <w:link w:val="Endnotentext"/>
    <w:uiPriority w:val="99"/>
    <w:semiHidden/>
    <w:rsid w:val="005C3C88"/>
    <w:rPr>
      <w:rFonts w:ascii="Arial" w:hAnsi="Arial"/>
      <w:sz w:val="20"/>
      <w:szCs w:val="20"/>
    </w:rPr>
  </w:style>
  <w:style w:type="character" w:styleId="Endnotenzeichen">
    <w:name w:val="endnote reference"/>
    <w:basedOn w:val="Absatz-Standardschriftart"/>
    <w:uiPriority w:val="99"/>
    <w:semiHidden/>
    <w:unhideWhenUsed/>
    <w:rsid w:val="007A3900"/>
    <w:rPr>
      <w:vertAlign w:val="superscript"/>
    </w:rPr>
  </w:style>
  <w:style w:type="paragraph" w:styleId="Funotentext">
    <w:name w:val="footnote text"/>
    <w:basedOn w:val="Standard"/>
    <w:link w:val="FunotentextZchn"/>
    <w:uiPriority w:val="99"/>
    <w:unhideWhenUsed/>
    <w:rsid w:val="007A3900"/>
    <w:pPr>
      <w:spacing w:after="0"/>
    </w:pPr>
    <w:rPr>
      <w:szCs w:val="20"/>
    </w:rPr>
  </w:style>
  <w:style w:type="character" w:customStyle="1" w:styleId="FunotentextZchn">
    <w:name w:val="Fußnotentext Zchn"/>
    <w:basedOn w:val="Absatz-Standardschriftart"/>
    <w:link w:val="Funotentext"/>
    <w:uiPriority w:val="99"/>
    <w:rsid w:val="005C3C88"/>
    <w:rPr>
      <w:rFonts w:ascii="Arial" w:hAnsi="Arial"/>
      <w:sz w:val="20"/>
      <w:szCs w:val="20"/>
    </w:rPr>
  </w:style>
  <w:style w:type="character" w:styleId="Funotenzeichen">
    <w:name w:val="footnote reference"/>
    <w:basedOn w:val="Absatz-Standardschriftart"/>
    <w:uiPriority w:val="99"/>
    <w:semiHidden/>
    <w:unhideWhenUsed/>
    <w:rsid w:val="007A3900"/>
    <w:rPr>
      <w:vertAlign w:val="superscript"/>
    </w:rPr>
  </w:style>
  <w:style w:type="paragraph" w:styleId="Liste">
    <w:name w:val="List"/>
    <w:basedOn w:val="Standard"/>
    <w:uiPriority w:val="99"/>
    <w:semiHidden/>
    <w:rsid w:val="001C303D"/>
    <w:pPr>
      <w:tabs>
        <w:tab w:val="left" w:pos="284"/>
      </w:tabs>
      <w:ind w:left="284" w:hanging="284"/>
      <w:contextualSpacing/>
    </w:pPr>
  </w:style>
  <w:style w:type="paragraph" w:customStyle="1" w:styleId="Liste1">
    <w:name w:val="Liste 1"/>
    <w:basedOn w:val="Standard"/>
    <w:qFormat/>
    <w:rsid w:val="00273545"/>
    <w:pPr>
      <w:keepLines/>
      <w:numPr>
        <w:numId w:val="5"/>
      </w:numPr>
      <w:tabs>
        <w:tab w:val="left" w:pos="284"/>
      </w:tabs>
      <w:contextualSpacing/>
    </w:pPr>
  </w:style>
  <w:style w:type="paragraph" w:styleId="Liste2">
    <w:name w:val="List 2"/>
    <w:basedOn w:val="Standard"/>
    <w:uiPriority w:val="99"/>
    <w:rsid w:val="00602849"/>
    <w:pPr>
      <w:keepLines/>
      <w:numPr>
        <w:ilvl w:val="1"/>
        <w:numId w:val="5"/>
      </w:numPr>
      <w:tabs>
        <w:tab w:val="left" w:pos="567"/>
      </w:tabs>
      <w:contextualSpacing/>
    </w:pPr>
  </w:style>
  <w:style w:type="paragraph" w:styleId="Liste3">
    <w:name w:val="List 3"/>
    <w:basedOn w:val="Standard"/>
    <w:uiPriority w:val="99"/>
    <w:semiHidden/>
    <w:rsid w:val="00602850"/>
    <w:pPr>
      <w:numPr>
        <w:ilvl w:val="2"/>
        <w:numId w:val="5"/>
      </w:numPr>
      <w:tabs>
        <w:tab w:val="left" w:pos="851"/>
      </w:tabs>
      <w:contextualSpacing/>
    </w:pPr>
  </w:style>
  <w:style w:type="paragraph" w:styleId="Liste4">
    <w:name w:val="List 4"/>
    <w:basedOn w:val="Standard"/>
    <w:uiPriority w:val="99"/>
    <w:semiHidden/>
    <w:rsid w:val="00602851"/>
    <w:pPr>
      <w:numPr>
        <w:ilvl w:val="3"/>
        <w:numId w:val="5"/>
      </w:numPr>
      <w:tabs>
        <w:tab w:val="left" w:pos="1134"/>
      </w:tabs>
      <w:spacing w:before="60" w:after="60"/>
      <w:contextualSpacing/>
    </w:pPr>
  </w:style>
  <w:style w:type="paragraph" w:styleId="Liste5">
    <w:name w:val="List 5"/>
    <w:basedOn w:val="Standard"/>
    <w:uiPriority w:val="99"/>
    <w:semiHidden/>
    <w:rsid w:val="00B775FE"/>
    <w:pPr>
      <w:numPr>
        <w:ilvl w:val="4"/>
        <w:numId w:val="5"/>
      </w:numPr>
      <w:tabs>
        <w:tab w:val="left" w:pos="1418"/>
      </w:tabs>
      <w:contextualSpacing/>
    </w:pPr>
  </w:style>
  <w:style w:type="paragraph" w:styleId="Literaturverzeichnis">
    <w:name w:val="Bibliography"/>
    <w:basedOn w:val="Standard"/>
    <w:uiPriority w:val="37"/>
    <w:unhideWhenUsed/>
    <w:rsid w:val="003F1495"/>
    <w:pPr>
      <w:numPr>
        <w:numId w:val="19"/>
      </w:numPr>
    </w:pPr>
  </w:style>
  <w:style w:type="paragraph" w:customStyle="1" w:styleId="Legende">
    <w:name w:val="Legende"/>
    <w:basedOn w:val="Standard"/>
    <w:qFormat/>
    <w:rsid w:val="00244857"/>
    <w:pPr>
      <w:contextualSpacing/>
    </w:pPr>
    <w:rPr>
      <w:i/>
      <w:sz w:val="16"/>
    </w:rPr>
  </w:style>
  <w:style w:type="paragraph" w:customStyle="1" w:styleId="Grafikabsatz">
    <w:name w:val="Grafikabsatz"/>
    <w:basedOn w:val="Standard"/>
    <w:qFormat/>
    <w:rsid w:val="005C3C88"/>
    <w:pPr>
      <w:spacing w:after="0"/>
    </w:pPr>
    <w:rPr>
      <w:sz w:val="16"/>
    </w:rPr>
  </w:style>
  <w:style w:type="paragraph" w:customStyle="1" w:styleId="Dateiname">
    <w:name w:val="Dateiname"/>
    <w:basedOn w:val="Standard"/>
    <w:rsid w:val="00A90FC6"/>
    <w:pPr>
      <w:keepNext/>
      <w:keepLines/>
      <w:spacing w:after="0" w:line="360" w:lineRule="auto"/>
    </w:pPr>
    <w:rPr>
      <w:i/>
      <w:iCs/>
      <w:color w:val="7F7F7F" w:themeColor="text1"/>
      <w:sz w:val="18"/>
      <w:szCs w:val="18"/>
    </w:rPr>
  </w:style>
  <w:style w:type="character" w:styleId="Hyperlink">
    <w:name w:val="Hyperlink"/>
    <w:basedOn w:val="Absatz-Standardschriftart"/>
    <w:uiPriority w:val="99"/>
    <w:unhideWhenUsed/>
    <w:rsid w:val="00984FE8"/>
    <w:rPr>
      <w:color w:val="2E75B5" w:themeColor="hyperlink"/>
      <w:u w:val="single"/>
    </w:rPr>
  </w:style>
  <w:style w:type="paragraph" w:customStyle="1" w:styleId="AutorFirma">
    <w:name w:val="AutorFirma"/>
    <w:basedOn w:val="Standard"/>
    <w:next w:val="AutorStrasse"/>
    <w:rsid w:val="00B517CF"/>
    <w:pPr>
      <w:keepNext/>
      <w:keepLines/>
      <w:spacing w:after="0"/>
    </w:pPr>
  </w:style>
  <w:style w:type="paragraph" w:customStyle="1" w:styleId="AutorStadt">
    <w:name w:val="AutorStadt"/>
    <w:basedOn w:val="Standard"/>
    <w:next w:val="AutorTelefon"/>
    <w:rsid w:val="004F23AB"/>
    <w:pPr>
      <w:keepNext/>
      <w:keepLines/>
      <w:spacing w:after="0"/>
    </w:pPr>
  </w:style>
  <w:style w:type="paragraph" w:customStyle="1" w:styleId="AutorStrasse">
    <w:name w:val="AutorStrasse"/>
    <w:basedOn w:val="Standard"/>
    <w:next w:val="AutorStadt"/>
    <w:rsid w:val="004F23AB"/>
    <w:pPr>
      <w:keepNext/>
      <w:keepLines/>
      <w:spacing w:after="0"/>
    </w:pPr>
  </w:style>
  <w:style w:type="paragraph" w:customStyle="1" w:styleId="AutorTelefon">
    <w:name w:val="AutorTelefon"/>
    <w:basedOn w:val="Standard"/>
    <w:next w:val="AutorTelefax"/>
    <w:rsid w:val="004F23AB"/>
    <w:pPr>
      <w:keepNext/>
      <w:keepLines/>
      <w:tabs>
        <w:tab w:val="left" w:pos="2268"/>
      </w:tabs>
      <w:spacing w:after="0"/>
    </w:pPr>
  </w:style>
  <w:style w:type="paragraph" w:customStyle="1" w:styleId="AutorTelefax">
    <w:name w:val="AutorTelefax"/>
    <w:basedOn w:val="Standard"/>
    <w:next w:val="AutorEmail"/>
    <w:rsid w:val="004F23AB"/>
    <w:pPr>
      <w:keepNext/>
      <w:keepLines/>
      <w:tabs>
        <w:tab w:val="left" w:pos="2268"/>
      </w:tabs>
      <w:spacing w:after="0"/>
    </w:pPr>
  </w:style>
  <w:style w:type="paragraph" w:customStyle="1" w:styleId="AutorEmail">
    <w:name w:val="AutorEmail"/>
    <w:basedOn w:val="Standard"/>
    <w:next w:val="AutorName"/>
    <w:rsid w:val="003F336B"/>
    <w:pPr>
      <w:tabs>
        <w:tab w:val="left" w:pos="2268"/>
      </w:tabs>
      <w:spacing w:after="0"/>
    </w:pPr>
  </w:style>
  <w:style w:type="character" w:customStyle="1" w:styleId="Literaturverweis">
    <w:name w:val="Literaturverweis"/>
    <w:basedOn w:val="Absatz-Standardschriftart"/>
    <w:uiPriority w:val="1"/>
    <w:rsid w:val="00BF607F"/>
    <w:rPr>
      <w:color w:val="538135" w:themeColor="accent3"/>
      <w:u w:val="single"/>
    </w:rPr>
  </w:style>
  <w:style w:type="paragraph" w:customStyle="1" w:styleId="AutorName">
    <w:name w:val="AutorName"/>
    <w:basedOn w:val="Standard"/>
    <w:next w:val="AutorFirma"/>
    <w:rsid w:val="004F23AB"/>
    <w:pPr>
      <w:keepNext/>
      <w:keepLines/>
      <w:spacing w:before="240" w:after="0"/>
    </w:pPr>
    <w:rPr>
      <w:b/>
    </w:rPr>
  </w:style>
  <w:style w:type="character" w:customStyle="1" w:styleId="berschrift6Zchn">
    <w:name w:val="Überschrift 6 Zchn"/>
    <w:basedOn w:val="Absatz-Standardschriftart"/>
    <w:link w:val="berschrift6"/>
    <w:uiPriority w:val="9"/>
    <w:semiHidden/>
    <w:rsid w:val="00CA06AE"/>
    <w:rPr>
      <w:rFonts w:eastAsiaTheme="majorEastAsia" w:cstheme="majorBidi"/>
      <w:color w:val="005727" w:themeColor="accent1" w:themeShade="7F"/>
      <w:sz w:val="20"/>
    </w:rPr>
  </w:style>
  <w:style w:type="character" w:customStyle="1" w:styleId="berschrift7Zchn">
    <w:name w:val="Überschrift 7 Zchn"/>
    <w:basedOn w:val="Absatz-Standardschriftart"/>
    <w:link w:val="berschrift7"/>
    <w:uiPriority w:val="9"/>
    <w:semiHidden/>
    <w:rsid w:val="00CA06AE"/>
    <w:rPr>
      <w:rFonts w:eastAsiaTheme="majorEastAsia" w:cstheme="majorBidi"/>
      <w:i/>
      <w:iCs/>
      <w:color w:val="005727" w:themeColor="accent1" w:themeShade="7F"/>
      <w:sz w:val="20"/>
    </w:rPr>
  </w:style>
  <w:style w:type="character" w:customStyle="1" w:styleId="berschrift8Zchn">
    <w:name w:val="Überschrift 8 Zchn"/>
    <w:basedOn w:val="Absatz-Standardschriftart"/>
    <w:link w:val="berschrift8"/>
    <w:uiPriority w:val="9"/>
    <w:semiHidden/>
    <w:rsid w:val="00CA06AE"/>
    <w:rPr>
      <w:rFonts w:eastAsiaTheme="majorEastAsia" w:cstheme="majorBidi"/>
      <w:color w:val="929292" w:themeColor="text1" w:themeTint="D8"/>
      <w:sz w:val="21"/>
      <w:szCs w:val="21"/>
    </w:rPr>
  </w:style>
  <w:style w:type="character" w:customStyle="1" w:styleId="berschrift9Zchn">
    <w:name w:val="Überschrift 9 Zchn"/>
    <w:basedOn w:val="Absatz-Standardschriftart"/>
    <w:link w:val="berschrift9"/>
    <w:uiPriority w:val="9"/>
    <w:semiHidden/>
    <w:rsid w:val="00CA06AE"/>
    <w:rPr>
      <w:rFonts w:eastAsiaTheme="majorEastAsia" w:cstheme="majorBidi"/>
      <w:i/>
      <w:iCs/>
      <w:color w:val="929292" w:themeColor="text1" w:themeTint="D8"/>
      <w:sz w:val="21"/>
      <w:szCs w:val="21"/>
    </w:rPr>
  </w:style>
  <w:style w:type="paragraph" w:customStyle="1" w:styleId="Grafikbeschriftung">
    <w:name w:val="Grafikbeschriftung"/>
    <w:basedOn w:val="Standard"/>
    <w:next w:val="Grafikabsatz"/>
    <w:qFormat/>
    <w:rsid w:val="005C3C88"/>
    <w:pPr>
      <w:keepNext/>
      <w:keepLines/>
      <w:spacing w:before="200" w:after="0" w:line="360" w:lineRule="auto"/>
    </w:pPr>
    <w:rPr>
      <w:i/>
      <w:iCs/>
      <w:color w:val="7F7F7F" w:themeColor="text1"/>
      <w:sz w:val="18"/>
      <w:szCs w:val="18"/>
    </w:rPr>
  </w:style>
  <w:style w:type="paragraph" w:customStyle="1" w:styleId="Tabellenbeschriftung">
    <w:name w:val="Tabellenbeschriftung"/>
    <w:basedOn w:val="Standard"/>
    <w:qFormat/>
    <w:rsid w:val="00A612E4"/>
    <w:pPr>
      <w:keepNext/>
      <w:keepLines/>
      <w:spacing w:before="200" w:after="60"/>
      <w:ind w:left="1418" w:hanging="1418"/>
    </w:pPr>
    <w:rPr>
      <w:i/>
      <w:iCs/>
      <w:color w:val="7F7F7F" w:themeColor="text1"/>
      <w:sz w:val="18"/>
      <w:szCs w:val="18"/>
    </w:rPr>
  </w:style>
  <w:style w:type="character" w:customStyle="1" w:styleId="LegendenzeichenHochgestellt">
    <w:name w:val="Legendenzeichen Hochgestellt"/>
    <w:basedOn w:val="Absatz-Standardschriftart"/>
    <w:uiPriority w:val="1"/>
    <w:rsid w:val="0086320B"/>
    <w:rPr>
      <w:vertAlign w:val="superscript"/>
    </w:rPr>
  </w:style>
  <w:style w:type="table" w:customStyle="1" w:styleId="TabelleKomplett">
    <w:name w:val="TabelleKomplett"/>
    <w:basedOn w:val="NormaleTabelle"/>
    <w:uiPriority w:val="99"/>
    <w:rsid w:val="00D32499"/>
    <w:pPr>
      <w:spacing w:after="0"/>
      <w:ind w:left="0" w:firstLine="0"/>
    </w:p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val="0"/>
      </w:rPr>
      <w:tblPr/>
      <w:trPr>
        <w:cantSplit/>
      </w:trPr>
      <w:tcPr>
        <w:shd w:val="clear" w:color="auto" w:fill="DBEBD0" w:themeFill="accent6"/>
      </w:tcPr>
    </w:tblStylePr>
  </w:style>
  <w:style w:type="paragraph" w:styleId="Sprechblasentext">
    <w:name w:val="Balloon Text"/>
    <w:basedOn w:val="Standard"/>
    <w:link w:val="SprechblasentextZchn"/>
    <w:uiPriority w:val="99"/>
    <w:semiHidden/>
    <w:unhideWhenUsed/>
    <w:rsid w:val="007C357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3571"/>
    <w:rPr>
      <w:rFonts w:ascii="Tahoma" w:hAnsi="Tahoma" w:cs="Tahoma"/>
      <w:sz w:val="16"/>
      <w:szCs w:val="16"/>
    </w:rPr>
  </w:style>
  <w:style w:type="paragraph" w:styleId="Standardeinzug">
    <w:name w:val="Normal Indent"/>
    <w:basedOn w:val="Standard"/>
    <w:uiPriority w:val="99"/>
    <w:semiHidden/>
    <w:unhideWhenUsed/>
    <w:rsid w:val="00D1311E"/>
    <w:pPr>
      <w:ind w:left="567"/>
    </w:pPr>
  </w:style>
  <w:style w:type="paragraph" w:styleId="Textkrper">
    <w:name w:val="Body Text"/>
    <w:basedOn w:val="Standard"/>
    <w:link w:val="TextkrperZchn"/>
    <w:uiPriority w:val="99"/>
    <w:semiHidden/>
    <w:unhideWhenUsed/>
    <w:rsid w:val="00A612E4"/>
    <w:pPr>
      <w:contextualSpacing/>
    </w:pPr>
  </w:style>
  <w:style w:type="character" w:customStyle="1" w:styleId="TextkrperZchn">
    <w:name w:val="Textkörper Zchn"/>
    <w:basedOn w:val="Absatz-Standardschriftart"/>
    <w:link w:val="Textkrper"/>
    <w:uiPriority w:val="99"/>
    <w:semiHidden/>
    <w:rsid w:val="00A612E4"/>
    <w:rPr>
      <w:rFonts w:ascii="Arial" w:hAnsi="Arial"/>
      <w:sz w:val="20"/>
    </w:rPr>
  </w:style>
  <w:style w:type="paragraph" w:styleId="Aufzhlungszeichen">
    <w:name w:val="List Bullet"/>
    <w:basedOn w:val="Standard"/>
    <w:uiPriority w:val="99"/>
    <w:semiHidden/>
    <w:unhideWhenUsed/>
    <w:rsid w:val="005C3C88"/>
    <w:pPr>
      <w:numPr>
        <w:numId w:val="7"/>
      </w:numPr>
      <w:tabs>
        <w:tab w:val="left" w:pos="284"/>
        <w:tab w:val="left" w:pos="567"/>
      </w:tabs>
      <w:ind w:left="357" w:hanging="357"/>
      <w:contextualSpacing/>
    </w:pPr>
  </w:style>
  <w:style w:type="paragraph" w:styleId="Aufzhlungszeichen2">
    <w:name w:val="List Bullet 2"/>
    <w:basedOn w:val="Standard"/>
    <w:uiPriority w:val="99"/>
    <w:semiHidden/>
    <w:unhideWhenUsed/>
    <w:rsid w:val="00273545"/>
    <w:pPr>
      <w:numPr>
        <w:numId w:val="8"/>
      </w:numPr>
      <w:tabs>
        <w:tab w:val="left" w:pos="567"/>
      </w:tabs>
      <w:ind w:left="568" w:hanging="284"/>
      <w:contextualSpacing/>
    </w:pPr>
  </w:style>
  <w:style w:type="paragraph" w:styleId="Aufzhlungszeichen3">
    <w:name w:val="List Bullet 3"/>
    <w:basedOn w:val="Standard"/>
    <w:uiPriority w:val="99"/>
    <w:semiHidden/>
    <w:unhideWhenUsed/>
    <w:rsid w:val="00273545"/>
    <w:pPr>
      <w:numPr>
        <w:numId w:val="9"/>
      </w:numPr>
      <w:tabs>
        <w:tab w:val="left" w:pos="851"/>
      </w:tabs>
      <w:ind w:left="851" w:hanging="284"/>
      <w:contextualSpacing/>
    </w:pPr>
  </w:style>
  <w:style w:type="paragraph" w:styleId="Aufzhlungszeichen4">
    <w:name w:val="List Bullet 4"/>
    <w:basedOn w:val="Standard"/>
    <w:uiPriority w:val="99"/>
    <w:semiHidden/>
    <w:unhideWhenUsed/>
    <w:rsid w:val="00273545"/>
    <w:pPr>
      <w:numPr>
        <w:numId w:val="10"/>
      </w:numPr>
      <w:tabs>
        <w:tab w:val="left" w:pos="1134"/>
      </w:tabs>
      <w:ind w:left="1135" w:hanging="284"/>
      <w:contextualSpacing/>
    </w:pPr>
  </w:style>
  <w:style w:type="paragraph" w:styleId="Aufzhlungszeichen5">
    <w:name w:val="List Bullet 5"/>
    <w:basedOn w:val="Standard"/>
    <w:uiPriority w:val="99"/>
    <w:semiHidden/>
    <w:unhideWhenUsed/>
    <w:rsid w:val="00273545"/>
    <w:pPr>
      <w:numPr>
        <w:numId w:val="11"/>
      </w:numPr>
      <w:tabs>
        <w:tab w:val="left" w:pos="1418"/>
      </w:tabs>
      <w:ind w:left="1418" w:hanging="284"/>
      <w:contextualSpacing/>
    </w:pPr>
  </w:style>
  <w:style w:type="paragraph" w:styleId="Beschriftung">
    <w:name w:val="caption"/>
    <w:basedOn w:val="Standard"/>
    <w:next w:val="Standard"/>
    <w:uiPriority w:val="35"/>
    <w:semiHidden/>
    <w:unhideWhenUsed/>
    <w:rsid w:val="00A658BE"/>
    <w:pPr>
      <w:spacing w:before="200"/>
      <w:contextualSpacing/>
    </w:pPr>
    <w:rPr>
      <w:bCs/>
      <w:i/>
      <w:sz w:val="18"/>
      <w:szCs w:val="18"/>
    </w:rPr>
  </w:style>
  <w:style w:type="paragraph" w:styleId="Blocktext">
    <w:name w:val="Block Text"/>
    <w:basedOn w:val="Standard"/>
    <w:uiPriority w:val="99"/>
    <w:semiHidden/>
    <w:unhideWhenUsed/>
    <w:rsid w:val="00A658BE"/>
    <w:pPr>
      <w:pBdr>
        <w:top w:val="single" w:sz="2" w:space="10" w:color="00B050" w:themeColor="accent1" w:frame="1"/>
        <w:left w:val="single" w:sz="2" w:space="10" w:color="00B050" w:themeColor="accent1" w:frame="1"/>
        <w:bottom w:val="single" w:sz="2" w:space="10" w:color="00B050" w:themeColor="accent1" w:frame="1"/>
        <w:right w:val="single" w:sz="2" w:space="10" w:color="00B050" w:themeColor="accent1" w:frame="1"/>
      </w:pBdr>
      <w:ind w:left="1134" w:right="1134"/>
      <w:contextualSpacing/>
    </w:pPr>
    <w:rPr>
      <w:rFonts w:eastAsiaTheme="minorEastAsia"/>
      <w:i/>
      <w:iCs/>
    </w:rPr>
  </w:style>
  <w:style w:type="paragraph" w:styleId="Dokumentstruktur">
    <w:name w:val="Document Map"/>
    <w:basedOn w:val="Standard"/>
    <w:link w:val="DokumentstrukturZchn"/>
    <w:uiPriority w:val="99"/>
    <w:semiHidden/>
    <w:unhideWhenUsed/>
    <w:rsid w:val="005C3C88"/>
    <w:pPr>
      <w:spacing w:after="0"/>
    </w:pPr>
    <w:rPr>
      <w:rFonts w:cs="Tahoma"/>
      <w:sz w:val="16"/>
      <w:szCs w:val="16"/>
    </w:rPr>
  </w:style>
  <w:style w:type="character" w:customStyle="1" w:styleId="DokumentstrukturZchn">
    <w:name w:val="Dokumentstruktur Zchn"/>
    <w:basedOn w:val="Absatz-Standardschriftart"/>
    <w:link w:val="Dokumentstruktur"/>
    <w:uiPriority w:val="99"/>
    <w:semiHidden/>
    <w:rsid w:val="005C3C88"/>
    <w:rPr>
      <w:rFonts w:ascii="Arial" w:hAnsi="Arial" w:cs="Tahoma"/>
      <w:sz w:val="16"/>
      <w:szCs w:val="16"/>
    </w:rPr>
  </w:style>
  <w:style w:type="paragraph" w:styleId="E-Mail-Signatur">
    <w:name w:val="E-mail Signature"/>
    <w:basedOn w:val="Standard"/>
    <w:link w:val="E-Mail-SignaturZchn"/>
    <w:uiPriority w:val="99"/>
    <w:semiHidden/>
    <w:unhideWhenUsed/>
    <w:rsid w:val="005C3C88"/>
    <w:pPr>
      <w:spacing w:after="0"/>
    </w:pPr>
  </w:style>
  <w:style w:type="character" w:customStyle="1" w:styleId="E-Mail-SignaturZchn">
    <w:name w:val="E-Mail-Signatur Zchn"/>
    <w:basedOn w:val="Absatz-Standardschriftart"/>
    <w:link w:val="E-Mail-Signatur"/>
    <w:uiPriority w:val="99"/>
    <w:semiHidden/>
    <w:rsid w:val="005C3C88"/>
    <w:rPr>
      <w:rFonts w:ascii="Arial" w:hAnsi="Arial"/>
      <w:sz w:val="20"/>
    </w:rPr>
  </w:style>
  <w:style w:type="paragraph" w:styleId="Fu-Endnotenberschrift">
    <w:name w:val="Note Heading"/>
    <w:basedOn w:val="Standard"/>
    <w:next w:val="Standard"/>
    <w:link w:val="Fu-EndnotenberschriftZchn"/>
    <w:uiPriority w:val="99"/>
    <w:semiHidden/>
    <w:unhideWhenUsed/>
    <w:rsid w:val="005C3C88"/>
    <w:pPr>
      <w:contextualSpacing/>
    </w:pPr>
  </w:style>
  <w:style w:type="character" w:customStyle="1" w:styleId="Fu-EndnotenberschriftZchn">
    <w:name w:val="Fuß/-Endnotenüberschrift Zchn"/>
    <w:basedOn w:val="Absatz-Standardschriftart"/>
    <w:link w:val="Fu-Endnotenberschrift"/>
    <w:uiPriority w:val="99"/>
    <w:semiHidden/>
    <w:rsid w:val="005C3C88"/>
    <w:rPr>
      <w:rFonts w:ascii="Arial" w:hAnsi="Arial"/>
      <w:sz w:val="20"/>
    </w:rPr>
  </w:style>
  <w:style w:type="paragraph" w:styleId="Gruformel">
    <w:name w:val="Closing"/>
    <w:basedOn w:val="Standard"/>
    <w:link w:val="GruformelZchn"/>
    <w:uiPriority w:val="99"/>
    <w:semiHidden/>
    <w:unhideWhenUsed/>
    <w:rsid w:val="00357FC1"/>
    <w:pPr>
      <w:spacing w:after="0"/>
    </w:pPr>
  </w:style>
  <w:style w:type="character" w:customStyle="1" w:styleId="GruformelZchn">
    <w:name w:val="Grußformel Zchn"/>
    <w:basedOn w:val="Absatz-Standardschriftart"/>
    <w:link w:val="Gruformel"/>
    <w:uiPriority w:val="99"/>
    <w:semiHidden/>
    <w:rsid w:val="00357FC1"/>
    <w:rPr>
      <w:rFonts w:ascii="Arial" w:hAnsi="Arial"/>
      <w:sz w:val="20"/>
    </w:rPr>
  </w:style>
  <w:style w:type="character" w:styleId="Hervorhebung">
    <w:name w:val="Emphasis"/>
    <w:basedOn w:val="Absatz-Standardschriftart"/>
    <w:uiPriority w:val="20"/>
    <w:qFormat/>
    <w:rsid w:val="00357FC1"/>
    <w:rPr>
      <w:i/>
      <w:iCs/>
    </w:rPr>
  </w:style>
  <w:style w:type="paragraph" w:styleId="Inhaltsverzeichnisberschrift">
    <w:name w:val="TOC Heading"/>
    <w:basedOn w:val="berschrift1"/>
    <w:next w:val="Standard"/>
    <w:uiPriority w:val="39"/>
    <w:semiHidden/>
    <w:unhideWhenUsed/>
    <w:qFormat/>
    <w:rsid w:val="00357FC1"/>
    <w:pPr>
      <w:numPr>
        <w:numId w:val="0"/>
      </w:numPr>
      <w:tabs>
        <w:tab w:val="clear" w:pos="1134"/>
      </w:tabs>
      <w:spacing w:before="0" w:after="200"/>
    </w:pPr>
    <w:rPr>
      <w:b/>
      <w:bCs/>
      <w:color w:val="auto"/>
      <w:szCs w:val="28"/>
    </w:rPr>
  </w:style>
  <w:style w:type="paragraph" w:styleId="KeinLeerraum">
    <w:name w:val="No Spacing"/>
    <w:uiPriority w:val="1"/>
    <w:rsid w:val="00357FC1"/>
    <w:pPr>
      <w:spacing w:after="0"/>
      <w:ind w:left="0" w:firstLine="0"/>
    </w:pPr>
    <w:rPr>
      <w:rFonts w:ascii="Arial" w:hAnsi="Arial"/>
      <w:sz w:val="20"/>
    </w:rPr>
  </w:style>
  <w:style w:type="paragraph" w:styleId="Kommentartext">
    <w:name w:val="annotation text"/>
    <w:basedOn w:val="Standard"/>
    <w:link w:val="KommentartextZchn"/>
    <w:uiPriority w:val="99"/>
    <w:semiHidden/>
    <w:unhideWhenUsed/>
    <w:rsid w:val="00357FC1"/>
    <w:rPr>
      <w:szCs w:val="20"/>
    </w:rPr>
  </w:style>
  <w:style w:type="character" w:customStyle="1" w:styleId="KommentartextZchn">
    <w:name w:val="Kommentartext Zchn"/>
    <w:basedOn w:val="Absatz-Standardschriftart"/>
    <w:link w:val="Kommentartext"/>
    <w:uiPriority w:val="99"/>
    <w:semiHidden/>
    <w:rsid w:val="00357FC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57FC1"/>
    <w:rPr>
      <w:b/>
      <w:bCs/>
    </w:rPr>
  </w:style>
  <w:style w:type="character" w:customStyle="1" w:styleId="KommentarthemaZchn">
    <w:name w:val="Kommentarthema Zchn"/>
    <w:basedOn w:val="KommentartextZchn"/>
    <w:link w:val="Kommentarthema"/>
    <w:uiPriority w:val="99"/>
    <w:semiHidden/>
    <w:rsid w:val="00357FC1"/>
    <w:rPr>
      <w:rFonts w:ascii="Arial" w:hAnsi="Arial"/>
      <w:b/>
      <w:bCs/>
      <w:sz w:val="20"/>
      <w:szCs w:val="20"/>
    </w:rPr>
  </w:style>
  <w:style w:type="paragraph" w:styleId="Listenfortsetzung">
    <w:name w:val="List Continue"/>
    <w:basedOn w:val="Standard"/>
    <w:uiPriority w:val="99"/>
    <w:unhideWhenUsed/>
    <w:qFormat/>
    <w:rsid w:val="00B775FE"/>
    <w:pPr>
      <w:ind w:left="284"/>
      <w:contextualSpacing/>
    </w:pPr>
  </w:style>
  <w:style w:type="paragraph" w:styleId="Listenfortsetzung2">
    <w:name w:val="List Continue 2"/>
    <w:basedOn w:val="Standard"/>
    <w:uiPriority w:val="99"/>
    <w:unhideWhenUsed/>
    <w:rsid w:val="00B775FE"/>
    <w:pPr>
      <w:ind w:left="567"/>
      <w:contextualSpacing/>
    </w:pPr>
  </w:style>
  <w:style w:type="paragraph" w:styleId="Listenfortsetzung3">
    <w:name w:val="List Continue 3"/>
    <w:basedOn w:val="Standard"/>
    <w:uiPriority w:val="99"/>
    <w:unhideWhenUsed/>
    <w:rsid w:val="00B775FE"/>
    <w:pPr>
      <w:ind w:left="851"/>
      <w:contextualSpacing/>
    </w:pPr>
  </w:style>
  <w:style w:type="paragraph" w:styleId="Listenfortsetzung4">
    <w:name w:val="List Continue 4"/>
    <w:basedOn w:val="Standard"/>
    <w:uiPriority w:val="99"/>
    <w:unhideWhenUsed/>
    <w:rsid w:val="00B775FE"/>
    <w:pPr>
      <w:ind w:left="1134"/>
      <w:contextualSpacing/>
    </w:pPr>
  </w:style>
  <w:style w:type="paragraph" w:styleId="Listenfortsetzung5">
    <w:name w:val="List Continue 5"/>
    <w:basedOn w:val="Standard"/>
    <w:uiPriority w:val="99"/>
    <w:unhideWhenUsed/>
    <w:rsid w:val="00B775FE"/>
    <w:pPr>
      <w:ind w:left="1418"/>
      <w:contextualSpacing/>
    </w:pPr>
  </w:style>
  <w:style w:type="paragraph" w:styleId="Listennummer">
    <w:name w:val="List Number"/>
    <w:basedOn w:val="Standard"/>
    <w:uiPriority w:val="99"/>
    <w:unhideWhenUsed/>
    <w:qFormat/>
    <w:rsid w:val="00B775FE"/>
    <w:pPr>
      <w:numPr>
        <w:numId w:val="26"/>
      </w:numPr>
      <w:tabs>
        <w:tab w:val="left" w:pos="360"/>
      </w:tabs>
      <w:contextualSpacing/>
    </w:pPr>
  </w:style>
  <w:style w:type="paragraph" w:styleId="Listennummer2">
    <w:name w:val="List Number 2"/>
    <w:basedOn w:val="Standard"/>
    <w:uiPriority w:val="99"/>
    <w:semiHidden/>
    <w:unhideWhenUsed/>
    <w:rsid w:val="00B775FE"/>
    <w:pPr>
      <w:numPr>
        <w:ilvl w:val="1"/>
        <w:numId w:val="26"/>
      </w:numPr>
      <w:tabs>
        <w:tab w:val="left" w:pos="720"/>
      </w:tabs>
      <w:contextualSpacing/>
    </w:pPr>
  </w:style>
  <w:style w:type="paragraph" w:styleId="Listennummer3">
    <w:name w:val="List Number 3"/>
    <w:basedOn w:val="Standard"/>
    <w:uiPriority w:val="99"/>
    <w:semiHidden/>
    <w:unhideWhenUsed/>
    <w:rsid w:val="00B775FE"/>
    <w:pPr>
      <w:numPr>
        <w:ilvl w:val="2"/>
        <w:numId w:val="26"/>
      </w:numPr>
      <w:tabs>
        <w:tab w:val="left" w:pos="1080"/>
      </w:tabs>
      <w:contextualSpacing/>
    </w:pPr>
  </w:style>
  <w:style w:type="paragraph" w:styleId="Listennummer4">
    <w:name w:val="List Number 4"/>
    <w:basedOn w:val="Standard"/>
    <w:uiPriority w:val="99"/>
    <w:semiHidden/>
    <w:unhideWhenUsed/>
    <w:rsid w:val="00B775FE"/>
    <w:pPr>
      <w:numPr>
        <w:ilvl w:val="3"/>
        <w:numId w:val="26"/>
      </w:numPr>
      <w:tabs>
        <w:tab w:val="left" w:pos="1440"/>
      </w:tabs>
      <w:contextualSpacing/>
    </w:pPr>
  </w:style>
  <w:style w:type="paragraph" w:styleId="Listennummer5">
    <w:name w:val="List Number 5"/>
    <w:basedOn w:val="Standard"/>
    <w:uiPriority w:val="99"/>
    <w:semiHidden/>
    <w:unhideWhenUsed/>
    <w:rsid w:val="00B775FE"/>
    <w:pPr>
      <w:numPr>
        <w:ilvl w:val="4"/>
        <w:numId w:val="26"/>
      </w:numPr>
      <w:tabs>
        <w:tab w:val="left" w:pos="1800"/>
      </w:tabs>
      <w:contextualSpacing/>
    </w:pPr>
  </w:style>
  <w:style w:type="paragraph" w:styleId="NurText">
    <w:name w:val="Plain Text"/>
    <w:basedOn w:val="Standard"/>
    <w:link w:val="NurTextZchn"/>
    <w:uiPriority w:val="99"/>
    <w:semiHidden/>
    <w:unhideWhenUsed/>
    <w:rsid w:val="00A612E4"/>
    <w:pPr>
      <w:spacing w:after="0"/>
    </w:pPr>
    <w:rPr>
      <w:rFonts w:ascii="Consolas" w:hAnsi="Consolas" w:cs="Consolas"/>
      <w:sz w:val="21"/>
      <w:szCs w:val="21"/>
    </w:rPr>
  </w:style>
  <w:style w:type="character" w:customStyle="1" w:styleId="NurTextZchn">
    <w:name w:val="Nur Text Zchn"/>
    <w:basedOn w:val="Absatz-Standardschriftart"/>
    <w:link w:val="NurText"/>
    <w:uiPriority w:val="99"/>
    <w:semiHidden/>
    <w:rsid w:val="00A612E4"/>
    <w:rPr>
      <w:rFonts w:ascii="Consolas" w:hAnsi="Consolas" w:cs="Consolas"/>
      <w:sz w:val="21"/>
      <w:szCs w:val="21"/>
    </w:rPr>
  </w:style>
  <w:style w:type="paragraph" w:styleId="Nachrichtenkopf">
    <w:name w:val="Message Header"/>
    <w:basedOn w:val="Standard"/>
    <w:link w:val="NachrichtenkopfZchn"/>
    <w:uiPriority w:val="99"/>
    <w:semiHidden/>
    <w:unhideWhenUsed/>
    <w:rsid w:val="00A612E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612E4"/>
    <w:rPr>
      <w:rFonts w:eastAsiaTheme="majorEastAsia" w:cstheme="majorBidi"/>
      <w:sz w:val="24"/>
      <w:szCs w:val="24"/>
      <w:shd w:val="pct20" w:color="auto" w:fill="auto"/>
    </w:rPr>
  </w:style>
  <w:style w:type="character" w:styleId="Platzhaltertext">
    <w:name w:val="Placeholder Text"/>
    <w:basedOn w:val="Absatz-Standardschriftart"/>
    <w:uiPriority w:val="99"/>
    <w:semiHidden/>
    <w:rsid w:val="00A612E4"/>
    <w:rPr>
      <w:color w:val="808080"/>
    </w:rPr>
  </w:style>
  <w:style w:type="paragraph" w:styleId="Rechtsgrundlagenverzeichnis">
    <w:name w:val="table of authorities"/>
    <w:basedOn w:val="Standard"/>
    <w:next w:val="Standard"/>
    <w:uiPriority w:val="99"/>
    <w:semiHidden/>
    <w:unhideWhenUsed/>
    <w:rsid w:val="00A612E4"/>
    <w:pPr>
      <w:spacing w:before="200"/>
      <w:ind w:left="198" w:hanging="198"/>
    </w:pPr>
  </w:style>
  <w:style w:type="paragraph" w:styleId="RGV-berschrift">
    <w:name w:val="toa heading"/>
    <w:basedOn w:val="Standard"/>
    <w:next w:val="Standard"/>
    <w:uiPriority w:val="99"/>
    <w:semiHidden/>
    <w:unhideWhenUsed/>
    <w:rsid w:val="00A612E4"/>
    <w:pPr>
      <w:spacing w:before="120"/>
    </w:pPr>
    <w:rPr>
      <w:rFonts w:asciiTheme="majorHAnsi" w:eastAsiaTheme="majorEastAsia" w:hAnsiTheme="majorHAnsi" w:cstheme="majorBidi"/>
      <w:b/>
      <w:bCs/>
      <w:sz w:val="24"/>
      <w:szCs w:val="24"/>
    </w:rPr>
  </w:style>
  <w:style w:type="character" w:styleId="Seitenzahl">
    <w:name w:val="page number"/>
    <w:basedOn w:val="Absatz-Standardschriftart"/>
    <w:uiPriority w:val="99"/>
    <w:semiHidden/>
    <w:unhideWhenUsed/>
    <w:rsid w:val="00A612E4"/>
  </w:style>
  <w:style w:type="paragraph" w:styleId="Textkrper2">
    <w:name w:val="Body Text 2"/>
    <w:basedOn w:val="Standard"/>
    <w:link w:val="Textkrper2Zchn"/>
    <w:uiPriority w:val="99"/>
    <w:semiHidden/>
    <w:unhideWhenUsed/>
    <w:rsid w:val="00A612E4"/>
    <w:pPr>
      <w:spacing w:line="480" w:lineRule="auto"/>
      <w:contextualSpacing/>
    </w:pPr>
  </w:style>
  <w:style w:type="character" w:customStyle="1" w:styleId="Textkrper2Zchn">
    <w:name w:val="Textkörper 2 Zchn"/>
    <w:basedOn w:val="Absatz-Standardschriftart"/>
    <w:link w:val="Textkrper2"/>
    <w:uiPriority w:val="99"/>
    <w:semiHidden/>
    <w:rsid w:val="00A612E4"/>
    <w:rPr>
      <w:rFonts w:ascii="Arial" w:hAnsi="Arial"/>
      <w:sz w:val="20"/>
    </w:rPr>
  </w:style>
  <w:style w:type="paragraph" w:styleId="Textkrper3">
    <w:name w:val="Body Text 3"/>
    <w:basedOn w:val="Standard"/>
    <w:link w:val="Textkrper3Zchn"/>
    <w:uiPriority w:val="99"/>
    <w:semiHidden/>
    <w:unhideWhenUsed/>
    <w:rsid w:val="00A612E4"/>
    <w:pPr>
      <w:contextualSpacing/>
    </w:pPr>
    <w:rPr>
      <w:sz w:val="16"/>
      <w:szCs w:val="16"/>
    </w:rPr>
  </w:style>
  <w:style w:type="character" w:customStyle="1" w:styleId="Textkrper3Zchn">
    <w:name w:val="Textkörper 3 Zchn"/>
    <w:basedOn w:val="Absatz-Standardschriftart"/>
    <w:link w:val="Textkrper3"/>
    <w:uiPriority w:val="99"/>
    <w:semiHidden/>
    <w:rsid w:val="00A612E4"/>
    <w:rPr>
      <w:rFonts w:ascii="Arial" w:hAnsi="Arial"/>
      <w:sz w:val="16"/>
      <w:szCs w:val="16"/>
    </w:rPr>
  </w:style>
  <w:style w:type="paragraph" w:styleId="Textkrper-Einzug2">
    <w:name w:val="Body Text Indent 2"/>
    <w:basedOn w:val="Standard"/>
    <w:link w:val="Textkrper-Einzug2Zchn"/>
    <w:uiPriority w:val="99"/>
    <w:semiHidden/>
    <w:unhideWhenUsed/>
    <w:rsid w:val="00012F1A"/>
    <w:pPr>
      <w:spacing w:before="60" w:after="60" w:line="480" w:lineRule="auto"/>
      <w:ind w:left="284"/>
      <w:contextualSpacing/>
    </w:pPr>
  </w:style>
  <w:style w:type="character" w:customStyle="1" w:styleId="Textkrper-Einzug2Zchn">
    <w:name w:val="Textkörper-Einzug 2 Zchn"/>
    <w:basedOn w:val="Absatz-Standardschriftart"/>
    <w:link w:val="Textkrper-Einzug2"/>
    <w:uiPriority w:val="99"/>
    <w:semiHidden/>
    <w:rsid w:val="00012F1A"/>
    <w:rPr>
      <w:rFonts w:ascii="Arial" w:hAnsi="Arial"/>
      <w:sz w:val="20"/>
    </w:rPr>
  </w:style>
  <w:style w:type="paragraph" w:styleId="Textkrper-Einzug3">
    <w:name w:val="Body Text Indent 3"/>
    <w:basedOn w:val="Standard"/>
    <w:link w:val="Textkrper-Einzug3Zchn"/>
    <w:uiPriority w:val="99"/>
    <w:semiHidden/>
    <w:unhideWhenUsed/>
    <w:rsid w:val="00012F1A"/>
    <w:pPr>
      <w:ind w:left="284"/>
      <w:contextualSpacing/>
    </w:pPr>
    <w:rPr>
      <w:sz w:val="16"/>
      <w:szCs w:val="16"/>
    </w:rPr>
  </w:style>
  <w:style w:type="character" w:customStyle="1" w:styleId="Textkrper-Einzug3Zchn">
    <w:name w:val="Textkörper-Einzug 3 Zchn"/>
    <w:basedOn w:val="Absatz-Standardschriftart"/>
    <w:link w:val="Textkrper-Einzug3"/>
    <w:uiPriority w:val="99"/>
    <w:semiHidden/>
    <w:rsid w:val="00012F1A"/>
    <w:rPr>
      <w:rFonts w:ascii="Arial" w:hAnsi="Arial"/>
      <w:sz w:val="16"/>
      <w:szCs w:val="16"/>
    </w:rPr>
  </w:style>
  <w:style w:type="paragraph" w:customStyle="1" w:styleId="Zwischenberschrift">
    <w:name w:val="Zwischenüberschrift"/>
    <w:basedOn w:val="Standard"/>
    <w:next w:val="Standard"/>
    <w:qFormat/>
    <w:rsid w:val="00180E25"/>
    <w:pPr>
      <w:keepNext/>
    </w:pPr>
    <w:rPr>
      <w:b/>
      <w:u w:val="single"/>
    </w:rPr>
  </w:style>
  <w:style w:type="character" w:customStyle="1" w:styleId="LegendenzeichenZugelassenJa">
    <w:name w:val="Legendenzeichen Zugelassen Ja"/>
    <w:basedOn w:val="Absatz-Standardschriftart"/>
    <w:uiPriority w:val="1"/>
    <w:qFormat/>
    <w:rsid w:val="0071151D"/>
    <w:rPr>
      <w:b/>
      <w:color w:val="92D050"/>
      <w:u w:color="92D050"/>
    </w:rPr>
  </w:style>
  <w:style w:type="character" w:customStyle="1" w:styleId="LegendenzeichenZugelassenNein">
    <w:name w:val="Legendenzeichen Zugelassen Nein"/>
    <w:basedOn w:val="Absatz-Standardschriftart"/>
    <w:uiPriority w:val="1"/>
    <w:qFormat/>
    <w:rsid w:val="0071151D"/>
    <w:rPr>
      <w:b/>
      <w:color w:val="FF0000" w:themeColor="accent2"/>
    </w:rPr>
  </w:style>
  <w:style w:type="paragraph" w:customStyle="1" w:styleId="InterneInformation">
    <w:name w:val="Interne Information"/>
    <w:basedOn w:val="Standard"/>
    <w:rsid w:val="00083803"/>
    <w:pPr>
      <w:ind w:left="708"/>
    </w:pPr>
    <w:rPr>
      <w:i/>
    </w:rPr>
  </w:style>
  <w:style w:type="character" w:customStyle="1" w:styleId="LegendenzeichenPfeilBlau">
    <w:name w:val="Legendenzeichen Pfeil Blau"/>
    <w:basedOn w:val="Absatz-Standardschriftart"/>
    <w:uiPriority w:val="1"/>
    <w:qFormat/>
    <w:rsid w:val="00E7654A"/>
    <w:rPr>
      <w:b/>
      <w:color w:val="0070C0"/>
    </w:rPr>
  </w:style>
  <w:style w:type="character" w:customStyle="1" w:styleId="LegendenzeichenPfeilGelb">
    <w:name w:val="Legendenzeichen Pfeil Gelb"/>
    <w:basedOn w:val="Absatz-Standardschriftart"/>
    <w:uiPriority w:val="1"/>
    <w:qFormat/>
    <w:rsid w:val="00E7654A"/>
    <w:rPr>
      <w:b/>
      <w:color w:val="FFC000"/>
    </w:rPr>
  </w:style>
  <w:style w:type="paragraph" w:customStyle="1" w:styleId="ZugelassenJa">
    <w:name w:val="Zugelassen Ja"/>
    <w:basedOn w:val="Standard"/>
    <w:next w:val="Standard"/>
    <w:qFormat/>
    <w:rsid w:val="00610813"/>
    <w:pPr>
      <w:spacing w:after="0"/>
      <w:jc w:val="center"/>
    </w:pPr>
    <w:rPr>
      <w:b/>
      <w:color w:val="92D050"/>
      <w:sz w:val="84"/>
    </w:rPr>
  </w:style>
  <w:style w:type="paragraph" w:customStyle="1" w:styleId="ZugelassenNein">
    <w:name w:val="Zugelassen Nein"/>
    <w:basedOn w:val="Standard"/>
    <w:next w:val="Standard"/>
    <w:qFormat/>
    <w:rsid w:val="00610813"/>
    <w:pPr>
      <w:spacing w:after="0"/>
      <w:jc w:val="center"/>
    </w:pPr>
    <w:rPr>
      <w:b/>
      <w:color w:val="FF0000"/>
      <w:sz w:val="84"/>
    </w:rPr>
  </w:style>
  <w:style w:type="character" w:customStyle="1" w:styleId="LegendenzeichenPfeilSchwarz">
    <w:name w:val="Legendenzeichen Pfeil Schwarz"/>
    <w:basedOn w:val="Absatz-Standardschriftart"/>
    <w:uiPriority w:val="1"/>
    <w:qFormat/>
    <w:rsid w:val="00102CD8"/>
    <w:rPr>
      <w:b/>
    </w:rPr>
  </w:style>
  <w:style w:type="character" w:customStyle="1" w:styleId="LegendenzeichengestrPfeilBlau">
    <w:name w:val="Legendenzeichen gestr.Pfeil Blau"/>
    <w:basedOn w:val="Absatz-Standardschriftart"/>
    <w:uiPriority w:val="1"/>
    <w:qFormat/>
    <w:rsid w:val="00102CD8"/>
    <w:rPr>
      <w:b/>
      <w:color w:val="0070C0"/>
    </w:rPr>
  </w:style>
  <w:style w:type="character" w:customStyle="1" w:styleId="LegendenzeichengestrPfeilGelb">
    <w:name w:val="Legendenzeichen gestr.Pfeil Gelb"/>
    <w:basedOn w:val="LegendenzeichengestrPfeilBlau"/>
    <w:uiPriority w:val="1"/>
    <w:qFormat/>
    <w:rsid w:val="00102CD8"/>
    <w:rPr>
      <w:b/>
      <w:color w:val="FFC000"/>
    </w:rPr>
  </w:style>
  <w:style w:type="character" w:customStyle="1" w:styleId="LegendenzeichengestrPfeilSchwarz">
    <w:name w:val="Legendenzeichen gestr.Pfeil Schwarz"/>
    <w:basedOn w:val="Absatz-Standardschriftart"/>
    <w:uiPriority w:val="1"/>
    <w:qFormat/>
    <w:rsid w:val="00102CD8"/>
    <w:rPr>
      <w:b/>
    </w:rPr>
  </w:style>
  <w:style w:type="paragraph" w:customStyle="1" w:styleId="TabellenbodyEinzug">
    <w:name w:val="TabellenbodyEinzug"/>
    <w:basedOn w:val="Tabellenbody"/>
    <w:qFormat/>
    <w:rsid w:val="00472659"/>
    <w:pPr>
      <w:ind w:left="284"/>
    </w:pPr>
  </w:style>
  <w:style w:type="paragraph" w:customStyle="1" w:styleId="TabellenbodyEinzug2">
    <w:name w:val="TabellenbodyEinzug2"/>
    <w:basedOn w:val="TabellenbodyEinzug"/>
    <w:autoRedefine/>
    <w:qFormat/>
    <w:rsid w:val="005D44B6"/>
    <w:pPr>
      <w:ind w:left="567"/>
    </w:pPr>
  </w:style>
  <w:style w:type="paragraph" w:customStyle="1" w:styleId="TabellenbodyEinzug3">
    <w:name w:val="TabellenbodyEinzug3"/>
    <w:basedOn w:val="TabellenbodyEinzug2"/>
    <w:qFormat/>
    <w:rsid w:val="005D44B6"/>
    <w:pPr>
      <w:ind w:left="851"/>
    </w:p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de-DE" w:eastAsia="en-US" w:bidi="ar-SA"/>
      </w:rPr>
    </w:rPrDefault>
    <w:pPrDefault>
      <w:pPr>
        <w:spacing w:after="120"/>
        <w:ind w:left="1134" w:hanging="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w:unhideWhenUsed="0"/>
    <w:lsdException w:name="List Number" w:qFormat="1"/>
    <w:lsdException w:name="List 2" w:semiHidden="0" w:unhideWhenUsed="0"/>
    <w:lsdException w:name="List 3" w:unhideWhenUsed="0"/>
    <w:lsdException w:name="List 4" w:unhideWhenUsed="0"/>
    <w:lsdException w:name="List 5" w:unhideWhenUsed="0"/>
    <w:lsdException w:name="Title" w:semiHidden="0" w:uiPriority="10" w:unhideWhenUsed="0" w:qFormat="1"/>
    <w:lsdException w:name="Default Paragraph Font" w:uiPriority="1" w:qFormat="1"/>
    <w:lsdException w:name="List Continue"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02CD8"/>
    <w:pPr>
      <w:ind w:left="0" w:firstLine="0"/>
    </w:pPr>
    <w:rPr>
      <w:rFonts w:ascii="Arial" w:hAnsi="Arial"/>
      <w:sz w:val="20"/>
    </w:rPr>
  </w:style>
  <w:style w:type="paragraph" w:styleId="berschrift1">
    <w:name w:val="heading 1"/>
    <w:basedOn w:val="Standard"/>
    <w:next w:val="Standard"/>
    <w:link w:val="berschrift1Zchn"/>
    <w:uiPriority w:val="9"/>
    <w:qFormat/>
    <w:rsid w:val="00AC01EA"/>
    <w:pPr>
      <w:keepNext/>
      <w:keepLines/>
      <w:numPr>
        <w:numId w:val="22"/>
      </w:numPr>
      <w:tabs>
        <w:tab w:val="left" w:pos="1134"/>
      </w:tabs>
      <w:spacing w:before="120"/>
      <w:outlineLvl w:val="0"/>
    </w:pPr>
    <w:rPr>
      <w:rFonts w:asciiTheme="majorHAnsi" w:eastAsiaTheme="majorEastAsia" w:hAnsiTheme="majorHAnsi" w:cstheme="majorBidi"/>
      <w:color w:val="7F7F7F" w:themeColor="text1"/>
      <w:sz w:val="28"/>
      <w:szCs w:val="32"/>
    </w:rPr>
  </w:style>
  <w:style w:type="paragraph" w:styleId="berschrift2">
    <w:name w:val="heading 2"/>
    <w:basedOn w:val="Standard"/>
    <w:next w:val="Standard"/>
    <w:link w:val="berschrift2Zchn"/>
    <w:uiPriority w:val="9"/>
    <w:unhideWhenUsed/>
    <w:qFormat/>
    <w:rsid w:val="00AB29B3"/>
    <w:pPr>
      <w:keepNext/>
      <w:keepLines/>
      <w:numPr>
        <w:ilvl w:val="1"/>
        <w:numId w:val="22"/>
      </w:numPr>
      <w:tabs>
        <w:tab w:val="left" w:pos="1134"/>
      </w:tabs>
      <w:spacing w:before="120"/>
      <w:contextualSpacing/>
      <w:outlineLvl w:val="1"/>
    </w:pPr>
    <w:rPr>
      <w:rFonts w:asciiTheme="majorHAnsi" w:eastAsiaTheme="majorEastAsia" w:hAnsiTheme="majorHAnsi" w:cstheme="majorBidi"/>
      <w:color w:val="7F7F7F" w:themeColor="text1"/>
      <w:sz w:val="26"/>
      <w:szCs w:val="26"/>
    </w:rPr>
  </w:style>
  <w:style w:type="paragraph" w:styleId="berschrift3">
    <w:name w:val="heading 3"/>
    <w:basedOn w:val="Standard"/>
    <w:next w:val="Standard"/>
    <w:link w:val="berschrift3Zchn"/>
    <w:uiPriority w:val="9"/>
    <w:unhideWhenUsed/>
    <w:qFormat/>
    <w:rsid w:val="00AB29B3"/>
    <w:pPr>
      <w:keepNext/>
      <w:keepLines/>
      <w:numPr>
        <w:ilvl w:val="2"/>
        <w:numId w:val="22"/>
      </w:numPr>
      <w:tabs>
        <w:tab w:val="left" w:pos="1134"/>
      </w:tabs>
      <w:spacing w:before="40"/>
      <w:outlineLvl w:val="2"/>
    </w:pPr>
    <w:rPr>
      <w:rFonts w:asciiTheme="majorHAnsi" w:eastAsiaTheme="majorEastAsia" w:hAnsiTheme="majorHAnsi" w:cstheme="majorBidi"/>
      <w:color w:val="7F7F7F" w:themeColor="text1"/>
      <w:sz w:val="24"/>
      <w:szCs w:val="24"/>
    </w:rPr>
  </w:style>
  <w:style w:type="paragraph" w:styleId="berschrift4">
    <w:name w:val="heading 4"/>
    <w:basedOn w:val="Standard"/>
    <w:next w:val="Standard"/>
    <w:link w:val="berschrift4Zchn"/>
    <w:uiPriority w:val="9"/>
    <w:unhideWhenUsed/>
    <w:qFormat/>
    <w:rsid w:val="00AB29B3"/>
    <w:pPr>
      <w:keepNext/>
      <w:keepLines/>
      <w:numPr>
        <w:ilvl w:val="3"/>
        <w:numId w:val="22"/>
      </w:numPr>
      <w:tabs>
        <w:tab w:val="left" w:pos="1134"/>
      </w:tabs>
      <w:spacing w:before="120"/>
      <w:contextualSpacing/>
      <w:outlineLvl w:val="3"/>
    </w:pPr>
    <w:rPr>
      <w:rFonts w:asciiTheme="majorHAnsi" w:eastAsiaTheme="majorEastAsia" w:hAnsiTheme="majorHAnsi" w:cstheme="majorBidi"/>
      <w:iCs/>
      <w:color w:val="7F7F7F" w:themeColor="text1"/>
    </w:rPr>
  </w:style>
  <w:style w:type="paragraph" w:styleId="berschrift5">
    <w:name w:val="heading 5"/>
    <w:basedOn w:val="Standard"/>
    <w:next w:val="Standard"/>
    <w:link w:val="berschrift5Zchn"/>
    <w:uiPriority w:val="9"/>
    <w:unhideWhenUsed/>
    <w:qFormat/>
    <w:rsid w:val="00AB29B3"/>
    <w:pPr>
      <w:keepNext/>
      <w:keepLines/>
      <w:numPr>
        <w:ilvl w:val="4"/>
        <w:numId w:val="22"/>
      </w:numPr>
      <w:tabs>
        <w:tab w:val="left" w:pos="1134"/>
      </w:tabs>
      <w:spacing w:before="120"/>
      <w:contextualSpacing/>
      <w:outlineLvl w:val="4"/>
    </w:pPr>
    <w:rPr>
      <w:rFonts w:asciiTheme="majorHAnsi" w:eastAsiaTheme="majorEastAsia" w:hAnsiTheme="majorHAnsi" w:cstheme="majorBidi"/>
      <w:i/>
      <w:color w:val="7F7F7F" w:themeColor="text1"/>
    </w:rPr>
  </w:style>
  <w:style w:type="paragraph" w:styleId="berschrift6">
    <w:name w:val="heading 6"/>
    <w:basedOn w:val="Standard"/>
    <w:next w:val="Standard"/>
    <w:link w:val="berschrift6Zchn"/>
    <w:uiPriority w:val="9"/>
    <w:semiHidden/>
    <w:qFormat/>
    <w:rsid w:val="00CA06AE"/>
    <w:pPr>
      <w:keepNext/>
      <w:keepLines/>
      <w:numPr>
        <w:ilvl w:val="5"/>
        <w:numId w:val="22"/>
      </w:numPr>
      <w:spacing w:before="40" w:after="0"/>
      <w:outlineLvl w:val="5"/>
    </w:pPr>
    <w:rPr>
      <w:rFonts w:asciiTheme="majorHAnsi" w:eastAsiaTheme="majorEastAsia" w:hAnsiTheme="majorHAnsi" w:cstheme="majorBidi"/>
      <w:color w:val="005727" w:themeColor="accent1" w:themeShade="7F"/>
    </w:rPr>
  </w:style>
  <w:style w:type="paragraph" w:styleId="berschrift7">
    <w:name w:val="heading 7"/>
    <w:basedOn w:val="Standard"/>
    <w:next w:val="Standard"/>
    <w:link w:val="berschrift7Zchn"/>
    <w:uiPriority w:val="9"/>
    <w:semiHidden/>
    <w:qFormat/>
    <w:rsid w:val="00CA06AE"/>
    <w:pPr>
      <w:keepNext/>
      <w:keepLines/>
      <w:numPr>
        <w:ilvl w:val="6"/>
        <w:numId w:val="22"/>
      </w:numPr>
      <w:spacing w:before="40" w:after="0"/>
      <w:outlineLvl w:val="6"/>
    </w:pPr>
    <w:rPr>
      <w:rFonts w:asciiTheme="majorHAnsi" w:eastAsiaTheme="majorEastAsia" w:hAnsiTheme="majorHAnsi" w:cstheme="majorBidi"/>
      <w:i/>
      <w:iCs/>
      <w:color w:val="005727" w:themeColor="accent1" w:themeShade="7F"/>
    </w:rPr>
  </w:style>
  <w:style w:type="paragraph" w:styleId="berschrift8">
    <w:name w:val="heading 8"/>
    <w:basedOn w:val="Standard"/>
    <w:next w:val="Standard"/>
    <w:link w:val="berschrift8Zchn"/>
    <w:uiPriority w:val="9"/>
    <w:semiHidden/>
    <w:qFormat/>
    <w:rsid w:val="00CA06AE"/>
    <w:pPr>
      <w:keepNext/>
      <w:keepLines/>
      <w:numPr>
        <w:ilvl w:val="7"/>
        <w:numId w:val="22"/>
      </w:numPr>
      <w:spacing w:before="40" w:after="0"/>
      <w:outlineLvl w:val="7"/>
    </w:pPr>
    <w:rPr>
      <w:rFonts w:asciiTheme="majorHAnsi" w:eastAsiaTheme="majorEastAsia" w:hAnsiTheme="majorHAnsi" w:cstheme="majorBidi"/>
      <w:color w:val="929292" w:themeColor="text1" w:themeTint="D8"/>
      <w:sz w:val="21"/>
      <w:szCs w:val="21"/>
    </w:rPr>
  </w:style>
  <w:style w:type="paragraph" w:styleId="berschrift9">
    <w:name w:val="heading 9"/>
    <w:basedOn w:val="Standard"/>
    <w:next w:val="Standard"/>
    <w:link w:val="berschrift9Zchn"/>
    <w:uiPriority w:val="9"/>
    <w:semiHidden/>
    <w:qFormat/>
    <w:rsid w:val="00CA06AE"/>
    <w:pPr>
      <w:keepNext/>
      <w:keepLines/>
      <w:numPr>
        <w:ilvl w:val="8"/>
        <w:numId w:val="22"/>
      </w:numPr>
      <w:spacing w:before="40" w:after="0"/>
      <w:outlineLvl w:val="8"/>
    </w:pPr>
    <w:rPr>
      <w:rFonts w:asciiTheme="majorHAnsi" w:eastAsiaTheme="majorEastAsia" w:hAnsiTheme="majorHAnsi" w:cstheme="majorBidi"/>
      <w:i/>
      <w:iCs/>
      <w:color w:val="929292"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5478"/>
    <w:pPr>
      <w:tabs>
        <w:tab w:val="center" w:pos="4820"/>
        <w:tab w:val="right" w:pos="9639"/>
      </w:tabs>
      <w:spacing w:after="0"/>
    </w:pPr>
    <w:rPr>
      <w:rFonts w:asciiTheme="minorHAnsi" w:hAnsiTheme="minorHAnsi"/>
      <w:sz w:val="16"/>
    </w:rPr>
  </w:style>
  <w:style w:type="character" w:customStyle="1" w:styleId="KopfzeileZchn">
    <w:name w:val="Kopfzeile Zchn"/>
    <w:basedOn w:val="Absatz-Standardschriftart"/>
    <w:link w:val="Kopfzeile"/>
    <w:uiPriority w:val="99"/>
    <w:rsid w:val="00795478"/>
    <w:rPr>
      <w:rFonts w:asciiTheme="minorHAnsi" w:hAnsiTheme="minorHAnsi"/>
      <w:sz w:val="16"/>
    </w:rPr>
  </w:style>
  <w:style w:type="paragraph" w:styleId="Fuzeile">
    <w:name w:val="footer"/>
    <w:basedOn w:val="Standard"/>
    <w:link w:val="FuzeileZchn"/>
    <w:uiPriority w:val="99"/>
    <w:unhideWhenUsed/>
    <w:rsid w:val="00522E3C"/>
    <w:pPr>
      <w:tabs>
        <w:tab w:val="right" w:pos="9639"/>
      </w:tabs>
      <w:spacing w:after="0"/>
    </w:pPr>
    <w:rPr>
      <w:rFonts w:asciiTheme="minorHAnsi" w:hAnsiTheme="minorHAnsi"/>
      <w:sz w:val="16"/>
    </w:rPr>
  </w:style>
  <w:style w:type="character" w:customStyle="1" w:styleId="FuzeileZchn">
    <w:name w:val="Fußzeile Zchn"/>
    <w:basedOn w:val="Absatz-Standardschriftart"/>
    <w:link w:val="Fuzeile"/>
    <w:uiPriority w:val="99"/>
    <w:rsid w:val="005C3C88"/>
    <w:rPr>
      <w:rFonts w:asciiTheme="minorHAnsi" w:hAnsiTheme="minorHAnsi"/>
      <w:sz w:val="16"/>
    </w:rPr>
  </w:style>
  <w:style w:type="paragraph" w:styleId="Titel">
    <w:name w:val="Title"/>
    <w:basedOn w:val="Standard"/>
    <w:next w:val="Standard"/>
    <w:link w:val="TitelZchn"/>
    <w:uiPriority w:val="10"/>
    <w:qFormat/>
    <w:rsid w:val="00012F1A"/>
    <w:pPr>
      <w:keepNext/>
      <w:keepLines/>
      <w:contextualSpacing/>
    </w:pPr>
    <w:rPr>
      <w:rFonts w:eastAsiaTheme="majorEastAsia" w:cstheme="majorBidi"/>
      <w:color w:val="FFFFFF" w:themeColor="background1"/>
      <w:spacing w:val="-10"/>
      <w:kern w:val="28"/>
      <w:sz w:val="56"/>
      <w:szCs w:val="56"/>
    </w:rPr>
  </w:style>
  <w:style w:type="character" w:customStyle="1" w:styleId="TitelZchn">
    <w:name w:val="Titel Zchn"/>
    <w:basedOn w:val="Absatz-Standardschriftart"/>
    <w:link w:val="Titel"/>
    <w:uiPriority w:val="10"/>
    <w:rsid w:val="00012F1A"/>
    <w:rPr>
      <w:rFonts w:ascii="Arial" w:eastAsiaTheme="majorEastAsia" w:hAnsi="Arial" w:cstheme="majorBidi"/>
      <w:color w:val="FFFFFF" w:themeColor="background1"/>
      <w:spacing w:val="-10"/>
      <w:kern w:val="28"/>
      <w:sz w:val="56"/>
      <w:szCs w:val="56"/>
    </w:rPr>
  </w:style>
  <w:style w:type="character" w:customStyle="1" w:styleId="berschrift4Zchn">
    <w:name w:val="Überschrift 4 Zchn"/>
    <w:basedOn w:val="Absatz-Standardschriftart"/>
    <w:link w:val="berschrift4"/>
    <w:uiPriority w:val="9"/>
    <w:rsid w:val="00AB29B3"/>
    <w:rPr>
      <w:rFonts w:eastAsiaTheme="majorEastAsia" w:cstheme="majorBidi"/>
      <w:iCs/>
      <w:color w:val="7F7F7F" w:themeColor="text1"/>
      <w:sz w:val="20"/>
    </w:rPr>
  </w:style>
  <w:style w:type="character" w:customStyle="1" w:styleId="berschrift1Zchn">
    <w:name w:val="Überschrift 1 Zchn"/>
    <w:basedOn w:val="Absatz-Standardschriftart"/>
    <w:link w:val="berschrift1"/>
    <w:uiPriority w:val="9"/>
    <w:rsid w:val="00AB29B3"/>
    <w:rPr>
      <w:rFonts w:eastAsiaTheme="majorEastAsia" w:cstheme="majorBidi"/>
      <w:color w:val="7F7F7F" w:themeColor="text1"/>
      <w:sz w:val="28"/>
      <w:szCs w:val="32"/>
    </w:rPr>
  </w:style>
  <w:style w:type="character" w:customStyle="1" w:styleId="berschrift2Zchn">
    <w:name w:val="Überschrift 2 Zchn"/>
    <w:basedOn w:val="Absatz-Standardschriftart"/>
    <w:link w:val="berschrift2"/>
    <w:uiPriority w:val="9"/>
    <w:rsid w:val="00AB29B3"/>
    <w:rPr>
      <w:rFonts w:eastAsiaTheme="majorEastAsia" w:cstheme="majorBidi"/>
      <w:color w:val="7F7F7F" w:themeColor="text1"/>
      <w:sz w:val="26"/>
      <w:szCs w:val="26"/>
    </w:rPr>
  </w:style>
  <w:style w:type="character" w:customStyle="1" w:styleId="berschrift3Zchn">
    <w:name w:val="Überschrift 3 Zchn"/>
    <w:basedOn w:val="Absatz-Standardschriftart"/>
    <w:link w:val="berschrift3"/>
    <w:uiPriority w:val="9"/>
    <w:rsid w:val="00AB29B3"/>
    <w:rPr>
      <w:rFonts w:eastAsiaTheme="majorEastAsia" w:cstheme="majorBidi"/>
      <w:color w:val="7F7F7F" w:themeColor="text1"/>
      <w:sz w:val="24"/>
      <w:szCs w:val="24"/>
    </w:rPr>
  </w:style>
  <w:style w:type="character" w:customStyle="1" w:styleId="berschrift5Zchn">
    <w:name w:val="Überschrift 5 Zchn"/>
    <w:basedOn w:val="Absatz-Standardschriftart"/>
    <w:link w:val="berschrift5"/>
    <w:uiPriority w:val="9"/>
    <w:rsid w:val="00AB29B3"/>
    <w:rPr>
      <w:rFonts w:eastAsiaTheme="majorEastAsia" w:cstheme="majorBidi"/>
      <w:i/>
      <w:color w:val="7F7F7F" w:themeColor="text1"/>
      <w:sz w:val="20"/>
    </w:rPr>
  </w:style>
  <w:style w:type="character" w:styleId="Fett">
    <w:name w:val="Strong"/>
    <w:basedOn w:val="Absatz-Standardschriftart"/>
    <w:uiPriority w:val="22"/>
    <w:qFormat/>
    <w:rsid w:val="00E52D05"/>
    <w:rPr>
      <w:b/>
      <w:bCs/>
    </w:rPr>
  </w:style>
  <w:style w:type="paragraph" w:customStyle="1" w:styleId="Listeneinfhrung">
    <w:name w:val="Listeneinführung"/>
    <w:basedOn w:val="Standard"/>
    <w:next w:val="Liste1"/>
    <w:qFormat/>
    <w:rsid w:val="00244857"/>
    <w:pPr>
      <w:keepNext/>
      <w:keepLines/>
      <w:contextualSpacing/>
    </w:pPr>
  </w:style>
  <w:style w:type="paragraph" w:styleId="Untertitel">
    <w:name w:val="Subtitle"/>
    <w:basedOn w:val="Standard"/>
    <w:next w:val="Standard"/>
    <w:link w:val="UntertitelZchn"/>
    <w:uiPriority w:val="11"/>
    <w:rsid w:val="00522E3C"/>
    <w:pPr>
      <w:numPr>
        <w:ilvl w:val="1"/>
      </w:numPr>
      <w:spacing w:after="160" w:line="259" w:lineRule="auto"/>
    </w:pPr>
    <w:rPr>
      <w:rFonts w:asciiTheme="minorHAnsi" w:eastAsiaTheme="minorEastAsia" w:hAnsiTheme="minorHAnsi" w:cs="Times New Roman"/>
      <w:color w:val="ACACAC" w:themeColor="text1" w:themeTint="A5"/>
      <w:spacing w:val="15"/>
      <w:sz w:val="22"/>
      <w:lang w:eastAsia="de-DE"/>
    </w:rPr>
  </w:style>
  <w:style w:type="character" w:customStyle="1" w:styleId="UntertitelZchn">
    <w:name w:val="Untertitel Zchn"/>
    <w:basedOn w:val="Absatz-Standardschriftart"/>
    <w:link w:val="Untertitel"/>
    <w:uiPriority w:val="11"/>
    <w:rsid w:val="00522E3C"/>
    <w:rPr>
      <w:rFonts w:asciiTheme="minorHAnsi" w:eastAsiaTheme="minorEastAsia" w:hAnsiTheme="minorHAnsi" w:cs="Times New Roman"/>
      <w:color w:val="ACACAC" w:themeColor="text1" w:themeTint="A5"/>
      <w:spacing w:val="15"/>
      <w:lang w:eastAsia="de-DE"/>
    </w:rPr>
  </w:style>
  <w:style w:type="paragraph" w:customStyle="1" w:styleId="LL-Autoren">
    <w:name w:val="LL-Autoren"/>
    <w:basedOn w:val="Standard"/>
    <w:rsid w:val="00522E3C"/>
    <w:rPr>
      <w:color w:val="7F7F7F" w:themeColor="text1"/>
    </w:rPr>
  </w:style>
  <w:style w:type="paragraph" w:customStyle="1" w:styleId="LLAutoren-berschrift">
    <w:name w:val="LLAutoren-Überschrift"/>
    <w:basedOn w:val="LL-Autoren"/>
    <w:rsid w:val="00B53F27"/>
    <w:pPr>
      <w:spacing w:before="360"/>
    </w:pPr>
    <w:rPr>
      <w:b/>
    </w:rPr>
  </w:style>
  <w:style w:type="paragraph" w:customStyle="1" w:styleId="Metadaten">
    <w:name w:val="Metadaten"/>
    <w:basedOn w:val="Standard"/>
    <w:rsid w:val="00A612E4"/>
    <w:pPr>
      <w:spacing w:before="120"/>
      <w:ind w:left="720"/>
      <w:contextualSpacing/>
      <w:jc w:val="right"/>
    </w:pPr>
    <w:rPr>
      <w:color w:val="FFFFFF" w:themeColor="background1"/>
      <w:sz w:val="24"/>
    </w:rPr>
  </w:style>
  <w:style w:type="table" w:styleId="Tabellenraster">
    <w:name w:val="Table Grid"/>
    <w:basedOn w:val="NormaleTabelle"/>
    <w:uiPriority w:val="39"/>
    <w:rsid w:val="00DA664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mithellemGitternetz1">
    <w:name w:val="Tabelle mit hellem Gitternetz1"/>
    <w:basedOn w:val="NormaleTabelle"/>
    <w:uiPriority w:val="40"/>
    <w:rsid w:val="00DA664C"/>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ellenkopf">
    <w:name w:val="Tabellenkopf"/>
    <w:basedOn w:val="Standard"/>
    <w:qFormat/>
    <w:rsid w:val="00FE6F52"/>
    <w:pPr>
      <w:contextualSpacing/>
      <w:jc w:val="center"/>
    </w:pPr>
    <w:rPr>
      <w:b/>
      <w:sz w:val="19"/>
    </w:rPr>
  </w:style>
  <w:style w:type="paragraph" w:customStyle="1" w:styleId="Tabellenbody">
    <w:name w:val="Tabellenbody"/>
    <w:basedOn w:val="Standard"/>
    <w:qFormat/>
    <w:rsid w:val="00B775FE"/>
    <w:pPr>
      <w:contextualSpacing/>
    </w:pPr>
    <w:rPr>
      <w:sz w:val="19"/>
    </w:rPr>
  </w:style>
  <w:style w:type="table" w:customStyle="1" w:styleId="TabelleInSpalte">
    <w:name w:val="TabelleInSpalte"/>
    <w:basedOn w:val="NormaleTabelle"/>
    <w:uiPriority w:val="99"/>
    <w:rsid w:val="00D32499"/>
    <w:pPr>
      <w:spacing w:after="0"/>
      <w:ind w:left="0" w:firstLine="0"/>
    </w:pPr>
    <w:tblPr>
      <w:tblInd w:w="11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shd w:val="clear" w:color="auto" w:fill="auto"/>
    </w:tcPr>
    <w:tblStylePr w:type="firstRow">
      <w:rPr>
        <w:b w:val="0"/>
      </w:rPr>
      <w:tblPr/>
      <w:trPr>
        <w:cantSplit/>
      </w:trPr>
      <w:tcPr>
        <w:shd w:val="clear" w:color="auto" w:fill="DBEBD0" w:themeFill="accent6"/>
      </w:tcPr>
    </w:tblStylePr>
  </w:style>
  <w:style w:type="character" w:customStyle="1" w:styleId="TherapieNeu">
    <w:name w:val="TherapieNeu"/>
    <w:basedOn w:val="Absatz-Standardschriftart"/>
    <w:uiPriority w:val="1"/>
    <w:qFormat/>
    <w:rsid w:val="00305666"/>
    <w:rPr>
      <w:color w:val="00B050" w:themeColor="accent1"/>
    </w:rPr>
  </w:style>
  <w:style w:type="character" w:customStyle="1" w:styleId="TherapieVergleich">
    <w:name w:val="TherapieVergleich"/>
    <w:basedOn w:val="Absatz-Standardschriftart"/>
    <w:uiPriority w:val="1"/>
    <w:qFormat/>
    <w:rsid w:val="00305666"/>
    <w:rPr>
      <w:color w:val="FF0000" w:themeColor="accent2"/>
    </w:rPr>
  </w:style>
  <w:style w:type="paragraph" w:styleId="Endnotentext">
    <w:name w:val="endnote text"/>
    <w:basedOn w:val="Standard"/>
    <w:link w:val="EndnotentextZchn"/>
    <w:uiPriority w:val="99"/>
    <w:semiHidden/>
    <w:unhideWhenUsed/>
    <w:rsid w:val="007A3900"/>
    <w:pPr>
      <w:spacing w:after="0"/>
    </w:pPr>
    <w:rPr>
      <w:szCs w:val="20"/>
    </w:rPr>
  </w:style>
  <w:style w:type="character" w:customStyle="1" w:styleId="EndnotentextZchn">
    <w:name w:val="Endnotentext Zchn"/>
    <w:basedOn w:val="Absatz-Standardschriftart"/>
    <w:link w:val="Endnotentext"/>
    <w:uiPriority w:val="99"/>
    <w:semiHidden/>
    <w:rsid w:val="005C3C88"/>
    <w:rPr>
      <w:rFonts w:ascii="Arial" w:hAnsi="Arial"/>
      <w:sz w:val="20"/>
      <w:szCs w:val="20"/>
    </w:rPr>
  </w:style>
  <w:style w:type="character" w:styleId="Endnotenzeichen">
    <w:name w:val="endnote reference"/>
    <w:basedOn w:val="Absatz-Standardschriftart"/>
    <w:uiPriority w:val="99"/>
    <w:semiHidden/>
    <w:unhideWhenUsed/>
    <w:rsid w:val="007A3900"/>
    <w:rPr>
      <w:vertAlign w:val="superscript"/>
    </w:rPr>
  </w:style>
  <w:style w:type="paragraph" w:styleId="Funotentext">
    <w:name w:val="footnote text"/>
    <w:basedOn w:val="Standard"/>
    <w:link w:val="FunotentextZchn"/>
    <w:uiPriority w:val="99"/>
    <w:unhideWhenUsed/>
    <w:rsid w:val="007A3900"/>
    <w:pPr>
      <w:spacing w:after="0"/>
    </w:pPr>
    <w:rPr>
      <w:szCs w:val="20"/>
    </w:rPr>
  </w:style>
  <w:style w:type="character" w:customStyle="1" w:styleId="FunotentextZchn">
    <w:name w:val="Fußnotentext Zchn"/>
    <w:basedOn w:val="Absatz-Standardschriftart"/>
    <w:link w:val="Funotentext"/>
    <w:uiPriority w:val="99"/>
    <w:rsid w:val="005C3C88"/>
    <w:rPr>
      <w:rFonts w:ascii="Arial" w:hAnsi="Arial"/>
      <w:sz w:val="20"/>
      <w:szCs w:val="20"/>
    </w:rPr>
  </w:style>
  <w:style w:type="character" w:styleId="Funotenzeichen">
    <w:name w:val="footnote reference"/>
    <w:basedOn w:val="Absatz-Standardschriftart"/>
    <w:uiPriority w:val="99"/>
    <w:semiHidden/>
    <w:unhideWhenUsed/>
    <w:rsid w:val="007A3900"/>
    <w:rPr>
      <w:vertAlign w:val="superscript"/>
    </w:rPr>
  </w:style>
  <w:style w:type="paragraph" w:styleId="Liste">
    <w:name w:val="List"/>
    <w:basedOn w:val="Standard"/>
    <w:uiPriority w:val="99"/>
    <w:semiHidden/>
    <w:rsid w:val="001C303D"/>
    <w:pPr>
      <w:tabs>
        <w:tab w:val="left" w:pos="284"/>
      </w:tabs>
      <w:ind w:left="284" w:hanging="284"/>
      <w:contextualSpacing/>
    </w:pPr>
  </w:style>
  <w:style w:type="paragraph" w:customStyle="1" w:styleId="Liste1">
    <w:name w:val="Liste 1"/>
    <w:basedOn w:val="Standard"/>
    <w:qFormat/>
    <w:rsid w:val="00273545"/>
    <w:pPr>
      <w:keepLines/>
      <w:numPr>
        <w:numId w:val="5"/>
      </w:numPr>
      <w:tabs>
        <w:tab w:val="left" w:pos="284"/>
      </w:tabs>
      <w:contextualSpacing/>
    </w:pPr>
  </w:style>
  <w:style w:type="paragraph" w:styleId="Liste2">
    <w:name w:val="List 2"/>
    <w:basedOn w:val="Standard"/>
    <w:uiPriority w:val="99"/>
    <w:rsid w:val="00602849"/>
    <w:pPr>
      <w:keepLines/>
      <w:numPr>
        <w:ilvl w:val="1"/>
        <w:numId w:val="5"/>
      </w:numPr>
      <w:tabs>
        <w:tab w:val="left" w:pos="567"/>
      </w:tabs>
      <w:contextualSpacing/>
    </w:pPr>
  </w:style>
  <w:style w:type="paragraph" w:styleId="Liste3">
    <w:name w:val="List 3"/>
    <w:basedOn w:val="Standard"/>
    <w:uiPriority w:val="99"/>
    <w:semiHidden/>
    <w:rsid w:val="00602850"/>
    <w:pPr>
      <w:numPr>
        <w:ilvl w:val="2"/>
        <w:numId w:val="5"/>
      </w:numPr>
      <w:tabs>
        <w:tab w:val="left" w:pos="851"/>
      </w:tabs>
      <w:contextualSpacing/>
    </w:pPr>
  </w:style>
  <w:style w:type="paragraph" w:styleId="Liste4">
    <w:name w:val="List 4"/>
    <w:basedOn w:val="Standard"/>
    <w:uiPriority w:val="99"/>
    <w:semiHidden/>
    <w:rsid w:val="00602851"/>
    <w:pPr>
      <w:numPr>
        <w:ilvl w:val="3"/>
        <w:numId w:val="5"/>
      </w:numPr>
      <w:tabs>
        <w:tab w:val="left" w:pos="1134"/>
      </w:tabs>
      <w:spacing w:before="60" w:after="60"/>
      <w:contextualSpacing/>
    </w:pPr>
  </w:style>
  <w:style w:type="paragraph" w:styleId="Liste5">
    <w:name w:val="List 5"/>
    <w:basedOn w:val="Standard"/>
    <w:uiPriority w:val="99"/>
    <w:semiHidden/>
    <w:rsid w:val="00B775FE"/>
    <w:pPr>
      <w:numPr>
        <w:ilvl w:val="4"/>
        <w:numId w:val="5"/>
      </w:numPr>
      <w:tabs>
        <w:tab w:val="left" w:pos="1418"/>
      </w:tabs>
      <w:contextualSpacing/>
    </w:pPr>
  </w:style>
  <w:style w:type="paragraph" w:styleId="Literaturverzeichnis">
    <w:name w:val="Bibliography"/>
    <w:basedOn w:val="Standard"/>
    <w:uiPriority w:val="37"/>
    <w:unhideWhenUsed/>
    <w:rsid w:val="003F1495"/>
    <w:pPr>
      <w:numPr>
        <w:numId w:val="19"/>
      </w:numPr>
    </w:pPr>
  </w:style>
  <w:style w:type="paragraph" w:customStyle="1" w:styleId="Legende">
    <w:name w:val="Legende"/>
    <w:basedOn w:val="Standard"/>
    <w:qFormat/>
    <w:rsid w:val="00244857"/>
    <w:pPr>
      <w:contextualSpacing/>
    </w:pPr>
    <w:rPr>
      <w:i/>
      <w:sz w:val="16"/>
    </w:rPr>
  </w:style>
  <w:style w:type="paragraph" w:customStyle="1" w:styleId="Grafikabsatz">
    <w:name w:val="Grafikabsatz"/>
    <w:basedOn w:val="Standard"/>
    <w:qFormat/>
    <w:rsid w:val="005C3C88"/>
    <w:pPr>
      <w:spacing w:after="0"/>
    </w:pPr>
    <w:rPr>
      <w:sz w:val="16"/>
    </w:rPr>
  </w:style>
  <w:style w:type="paragraph" w:customStyle="1" w:styleId="Dateiname">
    <w:name w:val="Dateiname"/>
    <w:basedOn w:val="Standard"/>
    <w:rsid w:val="00A90FC6"/>
    <w:pPr>
      <w:keepNext/>
      <w:keepLines/>
      <w:spacing w:after="0" w:line="360" w:lineRule="auto"/>
    </w:pPr>
    <w:rPr>
      <w:i/>
      <w:iCs/>
      <w:color w:val="7F7F7F" w:themeColor="text1"/>
      <w:sz w:val="18"/>
      <w:szCs w:val="18"/>
    </w:rPr>
  </w:style>
  <w:style w:type="character" w:styleId="Hyperlink">
    <w:name w:val="Hyperlink"/>
    <w:basedOn w:val="Absatz-Standardschriftart"/>
    <w:uiPriority w:val="99"/>
    <w:unhideWhenUsed/>
    <w:rsid w:val="00984FE8"/>
    <w:rPr>
      <w:color w:val="2E75B5" w:themeColor="hyperlink"/>
      <w:u w:val="single"/>
    </w:rPr>
  </w:style>
  <w:style w:type="paragraph" w:customStyle="1" w:styleId="AutorFirma">
    <w:name w:val="AutorFirma"/>
    <w:basedOn w:val="Standard"/>
    <w:next w:val="AutorStrasse"/>
    <w:rsid w:val="00B517CF"/>
    <w:pPr>
      <w:keepNext/>
      <w:keepLines/>
      <w:spacing w:after="0"/>
    </w:pPr>
  </w:style>
  <w:style w:type="paragraph" w:customStyle="1" w:styleId="AutorStadt">
    <w:name w:val="AutorStadt"/>
    <w:basedOn w:val="Standard"/>
    <w:next w:val="AutorTelefon"/>
    <w:rsid w:val="004F23AB"/>
    <w:pPr>
      <w:keepNext/>
      <w:keepLines/>
      <w:spacing w:after="0"/>
    </w:pPr>
  </w:style>
  <w:style w:type="paragraph" w:customStyle="1" w:styleId="AutorStrasse">
    <w:name w:val="AutorStrasse"/>
    <w:basedOn w:val="Standard"/>
    <w:next w:val="AutorStadt"/>
    <w:rsid w:val="004F23AB"/>
    <w:pPr>
      <w:keepNext/>
      <w:keepLines/>
      <w:spacing w:after="0"/>
    </w:pPr>
  </w:style>
  <w:style w:type="paragraph" w:customStyle="1" w:styleId="AutorTelefon">
    <w:name w:val="AutorTelefon"/>
    <w:basedOn w:val="Standard"/>
    <w:next w:val="AutorTelefax"/>
    <w:rsid w:val="004F23AB"/>
    <w:pPr>
      <w:keepNext/>
      <w:keepLines/>
      <w:tabs>
        <w:tab w:val="left" w:pos="2268"/>
      </w:tabs>
      <w:spacing w:after="0"/>
    </w:pPr>
  </w:style>
  <w:style w:type="paragraph" w:customStyle="1" w:styleId="AutorTelefax">
    <w:name w:val="AutorTelefax"/>
    <w:basedOn w:val="Standard"/>
    <w:next w:val="AutorEmail"/>
    <w:rsid w:val="004F23AB"/>
    <w:pPr>
      <w:keepNext/>
      <w:keepLines/>
      <w:tabs>
        <w:tab w:val="left" w:pos="2268"/>
      </w:tabs>
      <w:spacing w:after="0"/>
    </w:pPr>
  </w:style>
  <w:style w:type="paragraph" w:customStyle="1" w:styleId="AutorEmail">
    <w:name w:val="AutorEmail"/>
    <w:basedOn w:val="Standard"/>
    <w:next w:val="AutorName"/>
    <w:rsid w:val="003F336B"/>
    <w:pPr>
      <w:tabs>
        <w:tab w:val="left" w:pos="2268"/>
      </w:tabs>
      <w:spacing w:after="0"/>
    </w:pPr>
  </w:style>
  <w:style w:type="character" w:customStyle="1" w:styleId="Literaturverweis">
    <w:name w:val="Literaturverweis"/>
    <w:basedOn w:val="Absatz-Standardschriftart"/>
    <w:uiPriority w:val="1"/>
    <w:rsid w:val="00BF607F"/>
    <w:rPr>
      <w:color w:val="538135" w:themeColor="accent3"/>
      <w:u w:val="single"/>
    </w:rPr>
  </w:style>
  <w:style w:type="paragraph" w:customStyle="1" w:styleId="AutorName">
    <w:name w:val="AutorName"/>
    <w:basedOn w:val="Standard"/>
    <w:next w:val="AutorFirma"/>
    <w:rsid w:val="004F23AB"/>
    <w:pPr>
      <w:keepNext/>
      <w:keepLines/>
      <w:spacing w:before="240" w:after="0"/>
    </w:pPr>
    <w:rPr>
      <w:b/>
    </w:rPr>
  </w:style>
  <w:style w:type="character" w:customStyle="1" w:styleId="berschrift6Zchn">
    <w:name w:val="Überschrift 6 Zchn"/>
    <w:basedOn w:val="Absatz-Standardschriftart"/>
    <w:link w:val="berschrift6"/>
    <w:uiPriority w:val="9"/>
    <w:semiHidden/>
    <w:rsid w:val="00CA06AE"/>
    <w:rPr>
      <w:rFonts w:eastAsiaTheme="majorEastAsia" w:cstheme="majorBidi"/>
      <w:color w:val="005727" w:themeColor="accent1" w:themeShade="7F"/>
      <w:sz w:val="20"/>
    </w:rPr>
  </w:style>
  <w:style w:type="character" w:customStyle="1" w:styleId="berschrift7Zchn">
    <w:name w:val="Überschrift 7 Zchn"/>
    <w:basedOn w:val="Absatz-Standardschriftart"/>
    <w:link w:val="berschrift7"/>
    <w:uiPriority w:val="9"/>
    <w:semiHidden/>
    <w:rsid w:val="00CA06AE"/>
    <w:rPr>
      <w:rFonts w:eastAsiaTheme="majorEastAsia" w:cstheme="majorBidi"/>
      <w:i/>
      <w:iCs/>
      <w:color w:val="005727" w:themeColor="accent1" w:themeShade="7F"/>
      <w:sz w:val="20"/>
    </w:rPr>
  </w:style>
  <w:style w:type="character" w:customStyle="1" w:styleId="berschrift8Zchn">
    <w:name w:val="Überschrift 8 Zchn"/>
    <w:basedOn w:val="Absatz-Standardschriftart"/>
    <w:link w:val="berschrift8"/>
    <w:uiPriority w:val="9"/>
    <w:semiHidden/>
    <w:rsid w:val="00CA06AE"/>
    <w:rPr>
      <w:rFonts w:eastAsiaTheme="majorEastAsia" w:cstheme="majorBidi"/>
      <w:color w:val="929292" w:themeColor="text1" w:themeTint="D8"/>
      <w:sz w:val="21"/>
      <w:szCs w:val="21"/>
    </w:rPr>
  </w:style>
  <w:style w:type="character" w:customStyle="1" w:styleId="berschrift9Zchn">
    <w:name w:val="Überschrift 9 Zchn"/>
    <w:basedOn w:val="Absatz-Standardschriftart"/>
    <w:link w:val="berschrift9"/>
    <w:uiPriority w:val="9"/>
    <w:semiHidden/>
    <w:rsid w:val="00CA06AE"/>
    <w:rPr>
      <w:rFonts w:eastAsiaTheme="majorEastAsia" w:cstheme="majorBidi"/>
      <w:i/>
      <w:iCs/>
      <w:color w:val="929292" w:themeColor="text1" w:themeTint="D8"/>
      <w:sz w:val="21"/>
      <w:szCs w:val="21"/>
    </w:rPr>
  </w:style>
  <w:style w:type="paragraph" w:customStyle="1" w:styleId="Grafikbeschriftung">
    <w:name w:val="Grafikbeschriftung"/>
    <w:basedOn w:val="Standard"/>
    <w:next w:val="Grafikabsatz"/>
    <w:qFormat/>
    <w:rsid w:val="005C3C88"/>
    <w:pPr>
      <w:keepNext/>
      <w:keepLines/>
      <w:spacing w:before="200" w:after="0" w:line="360" w:lineRule="auto"/>
    </w:pPr>
    <w:rPr>
      <w:i/>
      <w:iCs/>
      <w:color w:val="7F7F7F" w:themeColor="text1"/>
      <w:sz w:val="18"/>
      <w:szCs w:val="18"/>
    </w:rPr>
  </w:style>
  <w:style w:type="paragraph" w:customStyle="1" w:styleId="Tabellenbeschriftung">
    <w:name w:val="Tabellenbeschriftung"/>
    <w:basedOn w:val="Standard"/>
    <w:qFormat/>
    <w:rsid w:val="00A612E4"/>
    <w:pPr>
      <w:keepNext/>
      <w:keepLines/>
      <w:spacing w:before="200" w:after="60"/>
      <w:ind w:left="1418" w:hanging="1418"/>
    </w:pPr>
    <w:rPr>
      <w:i/>
      <w:iCs/>
      <w:color w:val="7F7F7F" w:themeColor="text1"/>
      <w:sz w:val="18"/>
      <w:szCs w:val="18"/>
    </w:rPr>
  </w:style>
  <w:style w:type="character" w:customStyle="1" w:styleId="LegendenzeichenHochgestellt">
    <w:name w:val="Legendenzeichen Hochgestellt"/>
    <w:basedOn w:val="Absatz-Standardschriftart"/>
    <w:uiPriority w:val="1"/>
    <w:rsid w:val="0086320B"/>
    <w:rPr>
      <w:vertAlign w:val="superscript"/>
    </w:rPr>
  </w:style>
  <w:style w:type="table" w:customStyle="1" w:styleId="TabelleKomplett">
    <w:name w:val="TabelleKomplett"/>
    <w:basedOn w:val="NormaleTabelle"/>
    <w:uiPriority w:val="99"/>
    <w:rsid w:val="00D32499"/>
    <w:pPr>
      <w:spacing w:after="0"/>
      <w:ind w:left="0" w:firstLine="0"/>
    </w:p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val="0"/>
      </w:rPr>
      <w:tblPr/>
      <w:trPr>
        <w:cantSplit/>
      </w:trPr>
      <w:tcPr>
        <w:shd w:val="clear" w:color="auto" w:fill="DBEBD0" w:themeFill="accent6"/>
      </w:tcPr>
    </w:tblStylePr>
  </w:style>
  <w:style w:type="paragraph" w:styleId="Sprechblasentext">
    <w:name w:val="Balloon Text"/>
    <w:basedOn w:val="Standard"/>
    <w:link w:val="SprechblasentextZchn"/>
    <w:uiPriority w:val="99"/>
    <w:semiHidden/>
    <w:unhideWhenUsed/>
    <w:rsid w:val="007C357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C3571"/>
    <w:rPr>
      <w:rFonts w:ascii="Tahoma" w:hAnsi="Tahoma" w:cs="Tahoma"/>
      <w:sz w:val="16"/>
      <w:szCs w:val="16"/>
    </w:rPr>
  </w:style>
  <w:style w:type="paragraph" w:styleId="Standardeinzug">
    <w:name w:val="Normal Indent"/>
    <w:basedOn w:val="Standard"/>
    <w:uiPriority w:val="99"/>
    <w:semiHidden/>
    <w:unhideWhenUsed/>
    <w:rsid w:val="00D1311E"/>
    <w:pPr>
      <w:ind w:left="567"/>
    </w:pPr>
  </w:style>
  <w:style w:type="paragraph" w:styleId="Textkrper">
    <w:name w:val="Body Text"/>
    <w:basedOn w:val="Standard"/>
    <w:link w:val="TextkrperZchn"/>
    <w:uiPriority w:val="99"/>
    <w:semiHidden/>
    <w:unhideWhenUsed/>
    <w:rsid w:val="00A612E4"/>
    <w:pPr>
      <w:contextualSpacing/>
    </w:pPr>
  </w:style>
  <w:style w:type="character" w:customStyle="1" w:styleId="TextkrperZchn">
    <w:name w:val="Textkörper Zchn"/>
    <w:basedOn w:val="Absatz-Standardschriftart"/>
    <w:link w:val="Textkrper"/>
    <w:uiPriority w:val="99"/>
    <w:semiHidden/>
    <w:rsid w:val="00A612E4"/>
    <w:rPr>
      <w:rFonts w:ascii="Arial" w:hAnsi="Arial"/>
      <w:sz w:val="20"/>
    </w:rPr>
  </w:style>
  <w:style w:type="paragraph" w:styleId="Aufzhlungszeichen">
    <w:name w:val="List Bullet"/>
    <w:basedOn w:val="Standard"/>
    <w:uiPriority w:val="99"/>
    <w:semiHidden/>
    <w:unhideWhenUsed/>
    <w:rsid w:val="005C3C88"/>
    <w:pPr>
      <w:numPr>
        <w:numId w:val="7"/>
      </w:numPr>
      <w:tabs>
        <w:tab w:val="left" w:pos="284"/>
        <w:tab w:val="left" w:pos="567"/>
      </w:tabs>
      <w:ind w:left="357" w:hanging="357"/>
      <w:contextualSpacing/>
    </w:pPr>
  </w:style>
  <w:style w:type="paragraph" w:styleId="Aufzhlungszeichen2">
    <w:name w:val="List Bullet 2"/>
    <w:basedOn w:val="Standard"/>
    <w:uiPriority w:val="99"/>
    <w:semiHidden/>
    <w:unhideWhenUsed/>
    <w:rsid w:val="00273545"/>
    <w:pPr>
      <w:numPr>
        <w:numId w:val="8"/>
      </w:numPr>
      <w:tabs>
        <w:tab w:val="left" w:pos="567"/>
      </w:tabs>
      <w:ind w:left="568" w:hanging="284"/>
      <w:contextualSpacing/>
    </w:pPr>
  </w:style>
  <w:style w:type="paragraph" w:styleId="Aufzhlungszeichen3">
    <w:name w:val="List Bullet 3"/>
    <w:basedOn w:val="Standard"/>
    <w:uiPriority w:val="99"/>
    <w:semiHidden/>
    <w:unhideWhenUsed/>
    <w:rsid w:val="00273545"/>
    <w:pPr>
      <w:numPr>
        <w:numId w:val="9"/>
      </w:numPr>
      <w:tabs>
        <w:tab w:val="left" w:pos="851"/>
      </w:tabs>
      <w:ind w:left="851" w:hanging="284"/>
      <w:contextualSpacing/>
    </w:pPr>
  </w:style>
  <w:style w:type="paragraph" w:styleId="Aufzhlungszeichen4">
    <w:name w:val="List Bullet 4"/>
    <w:basedOn w:val="Standard"/>
    <w:uiPriority w:val="99"/>
    <w:semiHidden/>
    <w:unhideWhenUsed/>
    <w:rsid w:val="00273545"/>
    <w:pPr>
      <w:numPr>
        <w:numId w:val="10"/>
      </w:numPr>
      <w:tabs>
        <w:tab w:val="left" w:pos="1134"/>
      </w:tabs>
      <w:ind w:left="1135" w:hanging="284"/>
      <w:contextualSpacing/>
    </w:pPr>
  </w:style>
  <w:style w:type="paragraph" w:styleId="Aufzhlungszeichen5">
    <w:name w:val="List Bullet 5"/>
    <w:basedOn w:val="Standard"/>
    <w:uiPriority w:val="99"/>
    <w:semiHidden/>
    <w:unhideWhenUsed/>
    <w:rsid w:val="00273545"/>
    <w:pPr>
      <w:numPr>
        <w:numId w:val="11"/>
      </w:numPr>
      <w:tabs>
        <w:tab w:val="left" w:pos="1418"/>
      </w:tabs>
      <w:ind w:left="1418" w:hanging="284"/>
      <w:contextualSpacing/>
    </w:pPr>
  </w:style>
  <w:style w:type="paragraph" w:styleId="Beschriftung">
    <w:name w:val="caption"/>
    <w:basedOn w:val="Standard"/>
    <w:next w:val="Standard"/>
    <w:uiPriority w:val="35"/>
    <w:semiHidden/>
    <w:unhideWhenUsed/>
    <w:rsid w:val="00A658BE"/>
    <w:pPr>
      <w:spacing w:before="200"/>
      <w:contextualSpacing/>
    </w:pPr>
    <w:rPr>
      <w:bCs/>
      <w:i/>
      <w:sz w:val="18"/>
      <w:szCs w:val="18"/>
    </w:rPr>
  </w:style>
  <w:style w:type="paragraph" w:styleId="Blocktext">
    <w:name w:val="Block Text"/>
    <w:basedOn w:val="Standard"/>
    <w:uiPriority w:val="99"/>
    <w:semiHidden/>
    <w:unhideWhenUsed/>
    <w:rsid w:val="00A658BE"/>
    <w:pPr>
      <w:pBdr>
        <w:top w:val="single" w:sz="2" w:space="10" w:color="00B050" w:themeColor="accent1" w:frame="1"/>
        <w:left w:val="single" w:sz="2" w:space="10" w:color="00B050" w:themeColor="accent1" w:frame="1"/>
        <w:bottom w:val="single" w:sz="2" w:space="10" w:color="00B050" w:themeColor="accent1" w:frame="1"/>
        <w:right w:val="single" w:sz="2" w:space="10" w:color="00B050" w:themeColor="accent1" w:frame="1"/>
      </w:pBdr>
      <w:ind w:left="1134" w:right="1134"/>
      <w:contextualSpacing/>
    </w:pPr>
    <w:rPr>
      <w:rFonts w:eastAsiaTheme="minorEastAsia"/>
      <w:i/>
      <w:iCs/>
    </w:rPr>
  </w:style>
  <w:style w:type="paragraph" w:styleId="Dokumentstruktur">
    <w:name w:val="Document Map"/>
    <w:basedOn w:val="Standard"/>
    <w:link w:val="DokumentstrukturZchn"/>
    <w:uiPriority w:val="99"/>
    <w:semiHidden/>
    <w:unhideWhenUsed/>
    <w:rsid w:val="005C3C88"/>
    <w:pPr>
      <w:spacing w:after="0"/>
    </w:pPr>
    <w:rPr>
      <w:rFonts w:cs="Tahoma"/>
      <w:sz w:val="16"/>
      <w:szCs w:val="16"/>
    </w:rPr>
  </w:style>
  <w:style w:type="character" w:customStyle="1" w:styleId="DokumentstrukturZchn">
    <w:name w:val="Dokumentstruktur Zchn"/>
    <w:basedOn w:val="Absatz-Standardschriftart"/>
    <w:link w:val="Dokumentstruktur"/>
    <w:uiPriority w:val="99"/>
    <w:semiHidden/>
    <w:rsid w:val="005C3C88"/>
    <w:rPr>
      <w:rFonts w:ascii="Arial" w:hAnsi="Arial" w:cs="Tahoma"/>
      <w:sz w:val="16"/>
      <w:szCs w:val="16"/>
    </w:rPr>
  </w:style>
  <w:style w:type="paragraph" w:styleId="E-Mail-Signatur">
    <w:name w:val="E-mail Signature"/>
    <w:basedOn w:val="Standard"/>
    <w:link w:val="E-Mail-SignaturZchn"/>
    <w:uiPriority w:val="99"/>
    <w:semiHidden/>
    <w:unhideWhenUsed/>
    <w:rsid w:val="005C3C88"/>
    <w:pPr>
      <w:spacing w:after="0"/>
    </w:pPr>
  </w:style>
  <w:style w:type="character" w:customStyle="1" w:styleId="E-Mail-SignaturZchn">
    <w:name w:val="E-Mail-Signatur Zchn"/>
    <w:basedOn w:val="Absatz-Standardschriftart"/>
    <w:link w:val="E-Mail-Signatur"/>
    <w:uiPriority w:val="99"/>
    <w:semiHidden/>
    <w:rsid w:val="005C3C88"/>
    <w:rPr>
      <w:rFonts w:ascii="Arial" w:hAnsi="Arial"/>
      <w:sz w:val="20"/>
    </w:rPr>
  </w:style>
  <w:style w:type="paragraph" w:styleId="Fu-Endnotenberschrift">
    <w:name w:val="Note Heading"/>
    <w:basedOn w:val="Standard"/>
    <w:next w:val="Standard"/>
    <w:link w:val="Fu-EndnotenberschriftZchn"/>
    <w:uiPriority w:val="99"/>
    <w:semiHidden/>
    <w:unhideWhenUsed/>
    <w:rsid w:val="005C3C88"/>
    <w:pPr>
      <w:contextualSpacing/>
    </w:pPr>
  </w:style>
  <w:style w:type="character" w:customStyle="1" w:styleId="Fu-EndnotenberschriftZchn">
    <w:name w:val="Fuß/-Endnotenüberschrift Zchn"/>
    <w:basedOn w:val="Absatz-Standardschriftart"/>
    <w:link w:val="Fu-Endnotenberschrift"/>
    <w:uiPriority w:val="99"/>
    <w:semiHidden/>
    <w:rsid w:val="005C3C88"/>
    <w:rPr>
      <w:rFonts w:ascii="Arial" w:hAnsi="Arial"/>
      <w:sz w:val="20"/>
    </w:rPr>
  </w:style>
  <w:style w:type="paragraph" w:styleId="Gruformel">
    <w:name w:val="Closing"/>
    <w:basedOn w:val="Standard"/>
    <w:link w:val="GruformelZchn"/>
    <w:uiPriority w:val="99"/>
    <w:semiHidden/>
    <w:unhideWhenUsed/>
    <w:rsid w:val="00357FC1"/>
    <w:pPr>
      <w:spacing w:after="0"/>
    </w:pPr>
  </w:style>
  <w:style w:type="character" w:customStyle="1" w:styleId="GruformelZchn">
    <w:name w:val="Grußformel Zchn"/>
    <w:basedOn w:val="Absatz-Standardschriftart"/>
    <w:link w:val="Gruformel"/>
    <w:uiPriority w:val="99"/>
    <w:semiHidden/>
    <w:rsid w:val="00357FC1"/>
    <w:rPr>
      <w:rFonts w:ascii="Arial" w:hAnsi="Arial"/>
      <w:sz w:val="20"/>
    </w:rPr>
  </w:style>
  <w:style w:type="character" w:styleId="Hervorhebung">
    <w:name w:val="Emphasis"/>
    <w:basedOn w:val="Absatz-Standardschriftart"/>
    <w:uiPriority w:val="20"/>
    <w:qFormat/>
    <w:rsid w:val="00357FC1"/>
    <w:rPr>
      <w:i/>
      <w:iCs/>
    </w:rPr>
  </w:style>
  <w:style w:type="paragraph" w:styleId="Inhaltsverzeichnisberschrift">
    <w:name w:val="TOC Heading"/>
    <w:basedOn w:val="berschrift1"/>
    <w:next w:val="Standard"/>
    <w:uiPriority w:val="39"/>
    <w:semiHidden/>
    <w:unhideWhenUsed/>
    <w:qFormat/>
    <w:rsid w:val="00357FC1"/>
    <w:pPr>
      <w:numPr>
        <w:numId w:val="0"/>
      </w:numPr>
      <w:tabs>
        <w:tab w:val="clear" w:pos="1134"/>
      </w:tabs>
      <w:spacing w:before="0" w:after="200"/>
    </w:pPr>
    <w:rPr>
      <w:b/>
      <w:bCs/>
      <w:color w:val="auto"/>
      <w:szCs w:val="28"/>
    </w:rPr>
  </w:style>
  <w:style w:type="paragraph" w:styleId="KeinLeerraum">
    <w:name w:val="No Spacing"/>
    <w:uiPriority w:val="1"/>
    <w:rsid w:val="00357FC1"/>
    <w:pPr>
      <w:spacing w:after="0"/>
      <w:ind w:left="0" w:firstLine="0"/>
    </w:pPr>
    <w:rPr>
      <w:rFonts w:ascii="Arial" w:hAnsi="Arial"/>
      <w:sz w:val="20"/>
    </w:rPr>
  </w:style>
  <w:style w:type="paragraph" w:styleId="Kommentartext">
    <w:name w:val="annotation text"/>
    <w:basedOn w:val="Standard"/>
    <w:link w:val="KommentartextZchn"/>
    <w:uiPriority w:val="99"/>
    <w:semiHidden/>
    <w:unhideWhenUsed/>
    <w:rsid w:val="00357FC1"/>
    <w:rPr>
      <w:szCs w:val="20"/>
    </w:rPr>
  </w:style>
  <w:style w:type="character" w:customStyle="1" w:styleId="KommentartextZchn">
    <w:name w:val="Kommentartext Zchn"/>
    <w:basedOn w:val="Absatz-Standardschriftart"/>
    <w:link w:val="Kommentartext"/>
    <w:uiPriority w:val="99"/>
    <w:semiHidden/>
    <w:rsid w:val="00357FC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57FC1"/>
    <w:rPr>
      <w:b/>
      <w:bCs/>
    </w:rPr>
  </w:style>
  <w:style w:type="character" w:customStyle="1" w:styleId="KommentarthemaZchn">
    <w:name w:val="Kommentarthema Zchn"/>
    <w:basedOn w:val="KommentartextZchn"/>
    <w:link w:val="Kommentarthema"/>
    <w:uiPriority w:val="99"/>
    <w:semiHidden/>
    <w:rsid w:val="00357FC1"/>
    <w:rPr>
      <w:rFonts w:ascii="Arial" w:hAnsi="Arial"/>
      <w:b/>
      <w:bCs/>
      <w:sz w:val="20"/>
      <w:szCs w:val="20"/>
    </w:rPr>
  </w:style>
  <w:style w:type="paragraph" w:styleId="Listenfortsetzung">
    <w:name w:val="List Continue"/>
    <w:basedOn w:val="Standard"/>
    <w:uiPriority w:val="99"/>
    <w:unhideWhenUsed/>
    <w:qFormat/>
    <w:rsid w:val="00B775FE"/>
    <w:pPr>
      <w:ind w:left="284"/>
      <w:contextualSpacing/>
    </w:pPr>
  </w:style>
  <w:style w:type="paragraph" w:styleId="Listenfortsetzung2">
    <w:name w:val="List Continue 2"/>
    <w:basedOn w:val="Standard"/>
    <w:uiPriority w:val="99"/>
    <w:unhideWhenUsed/>
    <w:rsid w:val="00B775FE"/>
    <w:pPr>
      <w:ind w:left="567"/>
      <w:contextualSpacing/>
    </w:pPr>
  </w:style>
  <w:style w:type="paragraph" w:styleId="Listenfortsetzung3">
    <w:name w:val="List Continue 3"/>
    <w:basedOn w:val="Standard"/>
    <w:uiPriority w:val="99"/>
    <w:unhideWhenUsed/>
    <w:rsid w:val="00B775FE"/>
    <w:pPr>
      <w:ind w:left="851"/>
      <w:contextualSpacing/>
    </w:pPr>
  </w:style>
  <w:style w:type="paragraph" w:styleId="Listenfortsetzung4">
    <w:name w:val="List Continue 4"/>
    <w:basedOn w:val="Standard"/>
    <w:uiPriority w:val="99"/>
    <w:unhideWhenUsed/>
    <w:rsid w:val="00B775FE"/>
    <w:pPr>
      <w:ind w:left="1134"/>
      <w:contextualSpacing/>
    </w:pPr>
  </w:style>
  <w:style w:type="paragraph" w:styleId="Listenfortsetzung5">
    <w:name w:val="List Continue 5"/>
    <w:basedOn w:val="Standard"/>
    <w:uiPriority w:val="99"/>
    <w:unhideWhenUsed/>
    <w:rsid w:val="00B775FE"/>
    <w:pPr>
      <w:ind w:left="1418"/>
      <w:contextualSpacing/>
    </w:pPr>
  </w:style>
  <w:style w:type="paragraph" w:styleId="Listennummer">
    <w:name w:val="List Number"/>
    <w:basedOn w:val="Standard"/>
    <w:uiPriority w:val="99"/>
    <w:unhideWhenUsed/>
    <w:qFormat/>
    <w:rsid w:val="00B775FE"/>
    <w:pPr>
      <w:numPr>
        <w:numId w:val="26"/>
      </w:numPr>
      <w:tabs>
        <w:tab w:val="left" w:pos="360"/>
      </w:tabs>
      <w:contextualSpacing/>
    </w:pPr>
  </w:style>
  <w:style w:type="paragraph" w:styleId="Listennummer2">
    <w:name w:val="List Number 2"/>
    <w:basedOn w:val="Standard"/>
    <w:uiPriority w:val="99"/>
    <w:semiHidden/>
    <w:unhideWhenUsed/>
    <w:rsid w:val="00B775FE"/>
    <w:pPr>
      <w:numPr>
        <w:ilvl w:val="1"/>
        <w:numId w:val="26"/>
      </w:numPr>
      <w:tabs>
        <w:tab w:val="left" w:pos="720"/>
      </w:tabs>
      <w:contextualSpacing/>
    </w:pPr>
  </w:style>
  <w:style w:type="paragraph" w:styleId="Listennummer3">
    <w:name w:val="List Number 3"/>
    <w:basedOn w:val="Standard"/>
    <w:uiPriority w:val="99"/>
    <w:semiHidden/>
    <w:unhideWhenUsed/>
    <w:rsid w:val="00B775FE"/>
    <w:pPr>
      <w:numPr>
        <w:ilvl w:val="2"/>
        <w:numId w:val="26"/>
      </w:numPr>
      <w:tabs>
        <w:tab w:val="left" w:pos="1080"/>
      </w:tabs>
      <w:contextualSpacing/>
    </w:pPr>
  </w:style>
  <w:style w:type="paragraph" w:styleId="Listennummer4">
    <w:name w:val="List Number 4"/>
    <w:basedOn w:val="Standard"/>
    <w:uiPriority w:val="99"/>
    <w:semiHidden/>
    <w:unhideWhenUsed/>
    <w:rsid w:val="00B775FE"/>
    <w:pPr>
      <w:numPr>
        <w:ilvl w:val="3"/>
        <w:numId w:val="26"/>
      </w:numPr>
      <w:tabs>
        <w:tab w:val="left" w:pos="1440"/>
      </w:tabs>
      <w:contextualSpacing/>
    </w:pPr>
  </w:style>
  <w:style w:type="paragraph" w:styleId="Listennummer5">
    <w:name w:val="List Number 5"/>
    <w:basedOn w:val="Standard"/>
    <w:uiPriority w:val="99"/>
    <w:semiHidden/>
    <w:unhideWhenUsed/>
    <w:rsid w:val="00B775FE"/>
    <w:pPr>
      <w:numPr>
        <w:ilvl w:val="4"/>
        <w:numId w:val="26"/>
      </w:numPr>
      <w:tabs>
        <w:tab w:val="left" w:pos="1800"/>
      </w:tabs>
      <w:contextualSpacing/>
    </w:pPr>
  </w:style>
  <w:style w:type="paragraph" w:styleId="NurText">
    <w:name w:val="Plain Text"/>
    <w:basedOn w:val="Standard"/>
    <w:link w:val="NurTextZchn"/>
    <w:uiPriority w:val="99"/>
    <w:semiHidden/>
    <w:unhideWhenUsed/>
    <w:rsid w:val="00A612E4"/>
    <w:pPr>
      <w:spacing w:after="0"/>
    </w:pPr>
    <w:rPr>
      <w:rFonts w:ascii="Consolas" w:hAnsi="Consolas" w:cs="Consolas"/>
      <w:sz w:val="21"/>
      <w:szCs w:val="21"/>
    </w:rPr>
  </w:style>
  <w:style w:type="character" w:customStyle="1" w:styleId="NurTextZchn">
    <w:name w:val="Nur Text Zchn"/>
    <w:basedOn w:val="Absatz-Standardschriftart"/>
    <w:link w:val="NurText"/>
    <w:uiPriority w:val="99"/>
    <w:semiHidden/>
    <w:rsid w:val="00A612E4"/>
    <w:rPr>
      <w:rFonts w:ascii="Consolas" w:hAnsi="Consolas" w:cs="Consolas"/>
      <w:sz w:val="21"/>
      <w:szCs w:val="21"/>
    </w:rPr>
  </w:style>
  <w:style w:type="paragraph" w:styleId="Nachrichtenkopf">
    <w:name w:val="Message Header"/>
    <w:basedOn w:val="Standard"/>
    <w:link w:val="NachrichtenkopfZchn"/>
    <w:uiPriority w:val="99"/>
    <w:semiHidden/>
    <w:unhideWhenUsed/>
    <w:rsid w:val="00A612E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612E4"/>
    <w:rPr>
      <w:rFonts w:eastAsiaTheme="majorEastAsia" w:cstheme="majorBidi"/>
      <w:sz w:val="24"/>
      <w:szCs w:val="24"/>
      <w:shd w:val="pct20" w:color="auto" w:fill="auto"/>
    </w:rPr>
  </w:style>
  <w:style w:type="character" w:styleId="Platzhaltertext">
    <w:name w:val="Placeholder Text"/>
    <w:basedOn w:val="Absatz-Standardschriftart"/>
    <w:uiPriority w:val="99"/>
    <w:semiHidden/>
    <w:rsid w:val="00A612E4"/>
    <w:rPr>
      <w:color w:val="808080"/>
    </w:rPr>
  </w:style>
  <w:style w:type="paragraph" w:styleId="Rechtsgrundlagenverzeichnis">
    <w:name w:val="table of authorities"/>
    <w:basedOn w:val="Standard"/>
    <w:next w:val="Standard"/>
    <w:uiPriority w:val="99"/>
    <w:semiHidden/>
    <w:unhideWhenUsed/>
    <w:rsid w:val="00A612E4"/>
    <w:pPr>
      <w:spacing w:before="200"/>
      <w:ind w:left="198" w:hanging="198"/>
    </w:pPr>
  </w:style>
  <w:style w:type="paragraph" w:styleId="RGV-berschrift">
    <w:name w:val="toa heading"/>
    <w:basedOn w:val="Standard"/>
    <w:next w:val="Standard"/>
    <w:uiPriority w:val="99"/>
    <w:semiHidden/>
    <w:unhideWhenUsed/>
    <w:rsid w:val="00A612E4"/>
    <w:pPr>
      <w:spacing w:before="120"/>
    </w:pPr>
    <w:rPr>
      <w:rFonts w:asciiTheme="majorHAnsi" w:eastAsiaTheme="majorEastAsia" w:hAnsiTheme="majorHAnsi" w:cstheme="majorBidi"/>
      <w:b/>
      <w:bCs/>
      <w:sz w:val="24"/>
      <w:szCs w:val="24"/>
    </w:rPr>
  </w:style>
  <w:style w:type="character" w:styleId="Seitenzahl">
    <w:name w:val="page number"/>
    <w:basedOn w:val="Absatz-Standardschriftart"/>
    <w:uiPriority w:val="99"/>
    <w:semiHidden/>
    <w:unhideWhenUsed/>
    <w:rsid w:val="00A612E4"/>
  </w:style>
  <w:style w:type="paragraph" w:styleId="Textkrper2">
    <w:name w:val="Body Text 2"/>
    <w:basedOn w:val="Standard"/>
    <w:link w:val="Textkrper2Zchn"/>
    <w:uiPriority w:val="99"/>
    <w:semiHidden/>
    <w:unhideWhenUsed/>
    <w:rsid w:val="00A612E4"/>
    <w:pPr>
      <w:spacing w:line="480" w:lineRule="auto"/>
      <w:contextualSpacing/>
    </w:pPr>
  </w:style>
  <w:style w:type="character" w:customStyle="1" w:styleId="Textkrper2Zchn">
    <w:name w:val="Textkörper 2 Zchn"/>
    <w:basedOn w:val="Absatz-Standardschriftart"/>
    <w:link w:val="Textkrper2"/>
    <w:uiPriority w:val="99"/>
    <w:semiHidden/>
    <w:rsid w:val="00A612E4"/>
    <w:rPr>
      <w:rFonts w:ascii="Arial" w:hAnsi="Arial"/>
      <w:sz w:val="20"/>
    </w:rPr>
  </w:style>
  <w:style w:type="paragraph" w:styleId="Textkrper3">
    <w:name w:val="Body Text 3"/>
    <w:basedOn w:val="Standard"/>
    <w:link w:val="Textkrper3Zchn"/>
    <w:uiPriority w:val="99"/>
    <w:semiHidden/>
    <w:unhideWhenUsed/>
    <w:rsid w:val="00A612E4"/>
    <w:pPr>
      <w:contextualSpacing/>
    </w:pPr>
    <w:rPr>
      <w:sz w:val="16"/>
      <w:szCs w:val="16"/>
    </w:rPr>
  </w:style>
  <w:style w:type="character" w:customStyle="1" w:styleId="Textkrper3Zchn">
    <w:name w:val="Textkörper 3 Zchn"/>
    <w:basedOn w:val="Absatz-Standardschriftart"/>
    <w:link w:val="Textkrper3"/>
    <w:uiPriority w:val="99"/>
    <w:semiHidden/>
    <w:rsid w:val="00A612E4"/>
    <w:rPr>
      <w:rFonts w:ascii="Arial" w:hAnsi="Arial"/>
      <w:sz w:val="16"/>
      <w:szCs w:val="16"/>
    </w:rPr>
  </w:style>
  <w:style w:type="paragraph" w:styleId="Textkrper-Einzug2">
    <w:name w:val="Body Text Indent 2"/>
    <w:basedOn w:val="Standard"/>
    <w:link w:val="Textkrper-Einzug2Zchn"/>
    <w:uiPriority w:val="99"/>
    <w:semiHidden/>
    <w:unhideWhenUsed/>
    <w:rsid w:val="00012F1A"/>
    <w:pPr>
      <w:spacing w:before="60" w:after="60" w:line="480" w:lineRule="auto"/>
      <w:ind w:left="284"/>
      <w:contextualSpacing/>
    </w:pPr>
  </w:style>
  <w:style w:type="character" w:customStyle="1" w:styleId="Textkrper-Einzug2Zchn">
    <w:name w:val="Textkörper-Einzug 2 Zchn"/>
    <w:basedOn w:val="Absatz-Standardschriftart"/>
    <w:link w:val="Textkrper-Einzug2"/>
    <w:uiPriority w:val="99"/>
    <w:semiHidden/>
    <w:rsid w:val="00012F1A"/>
    <w:rPr>
      <w:rFonts w:ascii="Arial" w:hAnsi="Arial"/>
      <w:sz w:val="20"/>
    </w:rPr>
  </w:style>
  <w:style w:type="paragraph" w:styleId="Textkrper-Einzug3">
    <w:name w:val="Body Text Indent 3"/>
    <w:basedOn w:val="Standard"/>
    <w:link w:val="Textkrper-Einzug3Zchn"/>
    <w:uiPriority w:val="99"/>
    <w:semiHidden/>
    <w:unhideWhenUsed/>
    <w:rsid w:val="00012F1A"/>
    <w:pPr>
      <w:ind w:left="284"/>
      <w:contextualSpacing/>
    </w:pPr>
    <w:rPr>
      <w:sz w:val="16"/>
      <w:szCs w:val="16"/>
    </w:rPr>
  </w:style>
  <w:style w:type="character" w:customStyle="1" w:styleId="Textkrper-Einzug3Zchn">
    <w:name w:val="Textkörper-Einzug 3 Zchn"/>
    <w:basedOn w:val="Absatz-Standardschriftart"/>
    <w:link w:val="Textkrper-Einzug3"/>
    <w:uiPriority w:val="99"/>
    <w:semiHidden/>
    <w:rsid w:val="00012F1A"/>
    <w:rPr>
      <w:rFonts w:ascii="Arial" w:hAnsi="Arial"/>
      <w:sz w:val="16"/>
      <w:szCs w:val="16"/>
    </w:rPr>
  </w:style>
  <w:style w:type="paragraph" w:customStyle="1" w:styleId="Zwischenberschrift">
    <w:name w:val="Zwischenüberschrift"/>
    <w:basedOn w:val="Standard"/>
    <w:next w:val="Standard"/>
    <w:qFormat/>
    <w:rsid w:val="00180E25"/>
    <w:pPr>
      <w:keepNext/>
    </w:pPr>
    <w:rPr>
      <w:b/>
      <w:u w:val="single"/>
    </w:rPr>
  </w:style>
  <w:style w:type="character" w:customStyle="1" w:styleId="LegendenzeichenZugelassenJa">
    <w:name w:val="Legendenzeichen Zugelassen Ja"/>
    <w:basedOn w:val="Absatz-Standardschriftart"/>
    <w:uiPriority w:val="1"/>
    <w:qFormat/>
    <w:rsid w:val="0071151D"/>
    <w:rPr>
      <w:b/>
      <w:color w:val="92D050"/>
      <w:u w:color="92D050"/>
    </w:rPr>
  </w:style>
  <w:style w:type="character" w:customStyle="1" w:styleId="LegendenzeichenZugelassenNein">
    <w:name w:val="Legendenzeichen Zugelassen Nein"/>
    <w:basedOn w:val="Absatz-Standardschriftart"/>
    <w:uiPriority w:val="1"/>
    <w:qFormat/>
    <w:rsid w:val="0071151D"/>
    <w:rPr>
      <w:b/>
      <w:color w:val="FF0000" w:themeColor="accent2"/>
    </w:rPr>
  </w:style>
  <w:style w:type="paragraph" w:customStyle="1" w:styleId="InterneInformation">
    <w:name w:val="Interne Information"/>
    <w:basedOn w:val="Standard"/>
    <w:rsid w:val="00083803"/>
    <w:pPr>
      <w:ind w:left="708"/>
    </w:pPr>
    <w:rPr>
      <w:i/>
    </w:rPr>
  </w:style>
  <w:style w:type="character" w:customStyle="1" w:styleId="LegendenzeichenPfeilBlau">
    <w:name w:val="Legendenzeichen Pfeil Blau"/>
    <w:basedOn w:val="Absatz-Standardschriftart"/>
    <w:uiPriority w:val="1"/>
    <w:qFormat/>
    <w:rsid w:val="00E7654A"/>
    <w:rPr>
      <w:b/>
      <w:color w:val="0070C0"/>
    </w:rPr>
  </w:style>
  <w:style w:type="character" w:customStyle="1" w:styleId="LegendenzeichenPfeilGelb">
    <w:name w:val="Legendenzeichen Pfeil Gelb"/>
    <w:basedOn w:val="Absatz-Standardschriftart"/>
    <w:uiPriority w:val="1"/>
    <w:qFormat/>
    <w:rsid w:val="00E7654A"/>
    <w:rPr>
      <w:b/>
      <w:color w:val="FFC000"/>
    </w:rPr>
  </w:style>
  <w:style w:type="paragraph" w:customStyle="1" w:styleId="ZugelassenJa">
    <w:name w:val="Zugelassen Ja"/>
    <w:basedOn w:val="Standard"/>
    <w:next w:val="Standard"/>
    <w:qFormat/>
    <w:rsid w:val="00610813"/>
    <w:pPr>
      <w:spacing w:after="0"/>
      <w:jc w:val="center"/>
    </w:pPr>
    <w:rPr>
      <w:b/>
      <w:color w:val="92D050"/>
      <w:sz w:val="84"/>
    </w:rPr>
  </w:style>
  <w:style w:type="paragraph" w:customStyle="1" w:styleId="ZugelassenNein">
    <w:name w:val="Zugelassen Nein"/>
    <w:basedOn w:val="Standard"/>
    <w:next w:val="Standard"/>
    <w:qFormat/>
    <w:rsid w:val="00610813"/>
    <w:pPr>
      <w:spacing w:after="0"/>
      <w:jc w:val="center"/>
    </w:pPr>
    <w:rPr>
      <w:b/>
      <w:color w:val="FF0000"/>
      <w:sz w:val="84"/>
    </w:rPr>
  </w:style>
  <w:style w:type="character" w:customStyle="1" w:styleId="LegendenzeichenPfeilSchwarz">
    <w:name w:val="Legendenzeichen Pfeil Schwarz"/>
    <w:basedOn w:val="Absatz-Standardschriftart"/>
    <w:uiPriority w:val="1"/>
    <w:qFormat/>
    <w:rsid w:val="00102CD8"/>
    <w:rPr>
      <w:b/>
    </w:rPr>
  </w:style>
  <w:style w:type="character" w:customStyle="1" w:styleId="LegendenzeichengestrPfeilBlau">
    <w:name w:val="Legendenzeichen gestr.Pfeil Blau"/>
    <w:basedOn w:val="Absatz-Standardschriftart"/>
    <w:uiPriority w:val="1"/>
    <w:qFormat/>
    <w:rsid w:val="00102CD8"/>
    <w:rPr>
      <w:b/>
      <w:color w:val="0070C0"/>
    </w:rPr>
  </w:style>
  <w:style w:type="character" w:customStyle="1" w:styleId="LegendenzeichengestrPfeilGelb">
    <w:name w:val="Legendenzeichen gestr.Pfeil Gelb"/>
    <w:basedOn w:val="LegendenzeichengestrPfeilBlau"/>
    <w:uiPriority w:val="1"/>
    <w:qFormat/>
    <w:rsid w:val="00102CD8"/>
    <w:rPr>
      <w:b/>
      <w:color w:val="FFC000"/>
    </w:rPr>
  </w:style>
  <w:style w:type="character" w:customStyle="1" w:styleId="LegendenzeichengestrPfeilSchwarz">
    <w:name w:val="Legendenzeichen gestr.Pfeil Schwarz"/>
    <w:basedOn w:val="Absatz-Standardschriftart"/>
    <w:uiPriority w:val="1"/>
    <w:qFormat/>
    <w:rsid w:val="00102CD8"/>
    <w:rPr>
      <w:b/>
    </w:rPr>
  </w:style>
  <w:style w:type="paragraph" w:customStyle="1" w:styleId="TabellenbodyEinzug">
    <w:name w:val="TabellenbodyEinzug"/>
    <w:basedOn w:val="Tabellenbody"/>
    <w:qFormat/>
    <w:rsid w:val="00472659"/>
    <w:pPr>
      <w:ind w:left="284"/>
    </w:pPr>
  </w:style>
  <w:style w:type="paragraph" w:customStyle="1" w:styleId="TabellenbodyEinzug2">
    <w:name w:val="TabellenbodyEinzug2"/>
    <w:basedOn w:val="TabellenbodyEinzug"/>
    <w:autoRedefine/>
    <w:qFormat/>
    <w:rsid w:val="005D44B6"/>
    <w:pPr>
      <w:ind w:left="567"/>
    </w:pPr>
  </w:style>
  <w:style w:type="paragraph" w:customStyle="1" w:styleId="TabellenbodyEinzug3">
    <w:name w:val="TabellenbodyEinzug3"/>
    <w:basedOn w:val="TabellenbodyEinzug2"/>
    <w:qFormat/>
    <w:rsid w:val="005D44B6"/>
    <w:pPr>
      <w:ind w:left="851"/>
    </w:p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3456">
      <w:bodyDiv w:val="1"/>
      <w:marLeft w:val="0"/>
      <w:marRight w:val="0"/>
      <w:marTop w:val="0"/>
      <w:marBottom w:val="0"/>
      <w:divBdr>
        <w:top w:val="none" w:sz="0" w:space="0" w:color="auto"/>
        <w:left w:val="none" w:sz="0" w:space="0" w:color="auto"/>
        <w:bottom w:val="none" w:sz="0" w:space="0" w:color="auto"/>
        <w:right w:val="none" w:sz="0" w:space="0" w:color="auto"/>
      </w:divBdr>
    </w:div>
    <w:div w:id="9409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22331955" TargetMode="External"/><Relationship Id="rId18" Type="http://schemas.openxmlformats.org/officeDocument/2006/relationships/hyperlink" Target="http://www.ncbi.nlm.nih.gov/pubmed/?term=21714648" TargetMode="External"/><Relationship Id="rId26" Type="http://schemas.openxmlformats.org/officeDocument/2006/relationships/hyperlink" Target="http://dx.doi.org/10.1200/JCO.2010.34.122" TargetMode="External"/><Relationship Id="rId39" Type="http://schemas.openxmlformats.org/officeDocument/2006/relationships/hyperlink" Target="http://dx.doi.org/10.1016/j.hoc.2014.08.012" TargetMode="External"/><Relationship Id="rId3" Type="http://schemas.openxmlformats.org/officeDocument/2006/relationships/styles" Target="styles.xml"/><Relationship Id="rId21" Type="http://schemas.openxmlformats.org/officeDocument/2006/relationships/hyperlink" Target="http://dx.doi.org/10.1038/sj.leu.2403963" TargetMode="External"/><Relationship Id="rId34" Type="http://schemas.openxmlformats.org/officeDocument/2006/relationships/hyperlink" Target="http://dx.doi.org/10.1200/JCO.2002.04.117" TargetMode="External"/><Relationship Id="rId42" Type="http://schemas.openxmlformats.org/officeDocument/2006/relationships/hyperlink" Target="mailto:w.k.hofmann@umm.de" TargetMode="External"/><Relationship Id="rId47" Type="http://schemas.openxmlformats.org/officeDocument/2006/relationships/header" Target="header1.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x.doi.org/10.1016/j.leukres.2012.04.006" TargetMode="External"/><Relationship Id="rId17" Type="http://schemas.openxmlformats.org/officeDocument/2006/relationships/hyperlink" Target="http://dx.doi.org/10.1038/sj.leu.2405030" TargetMode="External"/><Relationship Id="rId25" Type="http://schemas.openxmlformats.org/officeDocument/2006/relationships/hyperlink" Target="http://dx.doi.org/10.1016/j.leukres.2010.03.009" TargetMode="External"/><Relationship Id="rId33" Type="http://schemas.openxmlformats.org/officeDocument/2006/relationships/hyperlink" Target="http://dx.doi.org/10.1200/JCO.2010.31.2686" TargetMode="External"/><Relationship Id="rId38" Type="http://schemas.openxmlformats.org/officeDocument/2006/relationships/hyperlink" Target="http://www.bloodjournal.org/content/124/21/163" TargetMode="External"/><Relationship Id="rId46" Type="http://schemas.openxmlformats.org/officeDocument/2006/relationships/hyperlink" Target="mailto:reinhard.stauder@uibk.ac.at" TargetMode="External"/><Relationship Id="rId2" Type="http://schemas.openxmlformats.org/officeDocument/2006/relationships/numbering" Target="numbering.xml"/><Relationship Id="rId16" Type="http://schemas.openxmlformats.org/officeDocument/2006/relationships/hyperlink" Target="http://www.ncbi.nlm.nih.gov/pubmed/?term=18033321" TargetMode="External"/><Relationship Id="rId20" Type="http://schemas.openxmlformats.org/officeDocument/2006/relationships/hyperlink" Target="http://www.ncbi.nlm.nih.gov/pubmed?term=9058730" TargetMode="External"/><Relationship Id="rId29" Type="http://schemas.openxmlformats.org/officeDocument/2006/relationships/hyperlink" Target="http://dx.doi.org/10.1002/cncr.22891" TargetMode="External"/><Relationship Id="rId41" Type="http://schemas.openxmlformats.org/officeDocument/2006/relationships/hyperlink" Target="https://www.onkopedia.com/@@resolve-link?language=de&amp;document_type=protocols&amp;guideline_topics=49&amp;area=onkoped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016/j.leukres.2009.12.004" TargetMode="External"/><Relationship Id="rId32" Type="http://schemas.openxmlformats.org/officeDocument/2006/relationships/hyperlink" Target="http://dx.doi.org/10.1182/blood-2007-01-068833" TargetMode="External"/><Relationship Id="rId37" Type="http://schemas.openxmlformats.org/officeDocument/2006/relationships/hyperlink" Target="http://dx.doi.org/10.1182/blood-2010-06-289280" TargetMode="External"/><Relationship Id="rId40" Type="http://schemas.openxmlformats.org/officeDocument/2006/relationships/hyperlink" Target="https://www.onkopedia.com/@@resolve-link?language=de&amp;document_type=protocols&amp;guideline_topics=49&amp;area=onkopedia" TargetMode="External"/><Relationship Id="rId45" Type="http://schemas.openxmlformats.org/officeDocument/2006/relationships/hyperlink" Target="mailto:uwe.platzbecker@uniklinikum-dresden.de"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x.doi.org/10.1182/blood-2012-03-420489" TargetMode="External"/><Relationship Id="rId23" Type="http://schemas.openxmlformats.org/officeDocument/2006/relationships/hyperlink" Target="http://dx.doi.org/10.1007/s00277-012-1594-z" TargetMode="External"/><Relationship Id="rId28" Type="http://schemas.openxmlformats.org/officeDocument/2006/relationships/hyperlink" Target="http://dx.doi.org/10.1182/blood-2009-03-211797" TargetMode="External"/><Relationship Id="rId36" Type="http://schemas.openxmlformats.org/officeDocument/2006/relationships/hyperlink" Target="http://dx.doi.org/10.1200/JCO.2010.30.9245" TargetMode="External"/><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dx.doi.org/10.1056/NEJMoa1013343" TargetMode="External"/><Relationship Id="rId31" Type="http://schemas.openxmlformats.org/officeDocument/2006/relationships/hyperlink" Target="http://dx.doi.org/10.1182/blood-2011-01-330126" TargetMode="External"/><Relationship Id="rId44" Type="http://schemas.openxmlformats.org/officeDocument/2006/relationships/hyperlink" Target="mailto:Jakob.Passweg@bluewin.ch"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dx.doi.org/10.1200/JCO.2011.35.6394" TargetMode="External"/><Relationship Id="rId22" Type="http://schemas.openxmlformats.org/officeDocument/2006/relationships/hyperlink" Target="http://dx.doi.org/10.1182/blood-2013-03-492884" TargetMode="External"/><Relationship Id="rId27" Type="http://schemas.openxmlformats.org/officeDocument/2006/relationships/hyperlink" Target="http://dx.doi.org/10.1046/j.1365-2141.1997.4013211.x" TargetMode="External"/><Relationship Id="rId30" Type="http://schemas.openxmlformats.org/officeDocument/2006/relationships/hyperlink" Target="http://dx.doi.org/10.1056/NEJMoa061292" TargetMode="External"/><Relationship Id="rId35" Type="http://schemas.openxmlformats.org/officeDocument/2006/relationships/hyperlink" Target="http://dx.doi.org/10.1016/S1470-2045(09)70003-8" TargetMode="External"/><Relationship Id="rId43" Type="http://schemas.openxmlformats.org/officeDocument/2006/relationships/hyperlink" Target="mailto:germing@med.uni-duesseldorf.de"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Larissa">
  <a:themeElements>
    <a:clrScheme name="DGHO-Farbpalette">
      <a:dk1>
        <a:srgbClr val="7F7F7F"/>
      </a:dk1>
      <a:lt1>
        <a:sysClr val="window" lastClr="FFFFFF"/>
      </a:lt1>
      <a:dk2>
        <a:srgbClr val="757070"/>
      </a:dk2>
      <a:lt2>
        <a:srgbClr val="E7E6E6"/>
      </a:lt2>
      <a:accent1>
        <a:srgbClr val="00B050"/>
      </a:accent1>
      <a:accent2>
        <a:srgbClr val="FF0000"/>
      </a:accent2>
      <a:accent3>
        <a:srgbClr val="538135"/>
      </a:accent3>
      <a:accent4>
        <a:srgbClr val="93C573"/>
      </a:accent4>
      <a:accent5>
        <a:srgbClr val="B7D8A2"/>
      </a:accent5>
      <a:accent6>
        <a:srgbClr val="DBEBD0"/>
      </a:accent6>
      <a:hlink>
        <a:srgbClr val="2E75B5"/>
      </a:hlink>
      <a:folHlink>
        <a:srgbClr val="9CC3E5"/>
      </a:folHlink>
    </a:clrScheme>
    <a:fontScheme name="DGHO-Templat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129C-9F04-4FA7-8F2F-3CB3BE43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6969</Words>
  <Characters>43910</Characters>
  <Application>Microsoft Office Word</Application>
  <DocSecurity>4</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Deutsche Gesellschaft für Hämatologie und Medizinische Onkologie e.V.</Company>
  <LinksUpToDate>false</LinksUpToDate>
  <CharactersWithSpaces>50778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http://www.c-rex.net</dc:creator>
  <cp:lastModifiedBy>Christoph Mußmann</cp:lastModifiedBy>
  <cp:revision>2</cp:revision>
  <dcterms:created xsi:type="dcterms:W3CDTF">2016-03-23T11:57:00Z</dcterms:created>
  <dcterms:modified xsi:type="dcterms:W3CDTF">2016-03-23T11:57:00Z</dcterms:modified>
</cp:coreProperties>
</file>