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95984" w14:textId="74FB1C3D" w:rsidR="007379FC" w:rsidRPr="001B7355" w:rsidRDefault="00F4412C" w:rsidP="001B7355">
      <w:pPr>
        <w:tabs>
          <w:tab w:val="left" w:pos="9350"/>
        </w:tabs>
        <w:spacing w:line="360" w:lineRule="auto"/>
        <w:ind w:right="302"/>
        <w:jc w:val="center"/>
        <w:rPr>
          <w:rFonts w:ascii="Garamond" w:hAnsi="Garamond"/>
          <w:b/>
          <w:bCs/>
          <w:smallCaps/>
          <w:sz w:val="28"/>
          <w:szCs w:val="28"/>
        </w:rPr>
      </w:pPr>
      <w:r w:rsidRPr="001B7355">
        <w:rPr>
          <w:rFonts w:ascii="Garamond" w:hAnsi="Garamond"/>
          <w:b/>
          <w:bCs/>
          <w:smallCaps/>
          <w:sz w:val="28"/>
          <w:szCs w:val="28"/>
        </w:rPr>
        <w:t>Closing the Gun Show Loophole:</w:t>
      </w:r>
    </w:p>
    <w:p w14:paraId="100831C5" w14:textId="04D28BC9" w:rsidR="00F4412C" w:rsidRDefault="00F4412C" w:rsidP="001B7355">
      <w:pPr>
        <w:tabs>
          <w:tab w:val="left" w:pos="9350"/>
        </w:tabs>
        <w:spacing w:line="360" w:lineRule="auto"/>
        <w:ind w:right="302"/>
        <w:jc w:val="center"/>
        <w:rPr>
          <w:rFonts w:ascii="Garamond" w:hAnsi="Garamond"/>
          <w:b/>
          <w:bCs/>
          <w:smallCaps/>
          <w:sz w:val="28"/>
          <w:szCs w:val="28"/>
        </w:rPr>
      </w:pPr>
      <w:r w:rsidRPr="001B7355">
        <w:rPr>
          <w:rFonts w:ascii="Garamond" w:hAnsi="Garamond"/>
          <w:b/>
          <w:bCs/>
          <w:smallCaps/>
          <w:sz w:val="28"/>
          <w:szCs w:val="28"/>
        </w:rPr>
        <w:t>Symbolic Victory or Legitimate Change?</w:t>
      </w:r>
    </w:p>
    <w:p w14:paraId="41887A48" w14:textId="77777777" w:rsidR="0027554D" w:rsidRDefault="0027554D" w:rsidP="0027554D">
      <w:pPr>
        <w:tabs>
          <w:tab w:val="left" w:pos="9350"/>
        </w:tabs>
        <w:spacing w:line="480" w:lineRule="auto"/>
        <w:ind w:right="298"/>
        <w:rPr>
          <w:rFonts w:ascii="Garamond" w:hAnsi="Garamond"/>
          <w:b/>
          <w:bCs/>
          <w:smallCaps/>
          <w:sz w:val="28"/>
          <w:szCs w:val="28"/>
        </w:rPr>
      </w:pPr>
    </w:p>
    <w:p w14:paraId="6AE90E2B" w14:textId="59458B1B" w:rsidR="0027554D" w:rsidRDefault="0027554D" w:rsidP="0027554D">
      <w:pPr>
        <w:tabs>
          <w:tab w:val="left" w:pos="9350"/>
        </w:tabs>
        <w:spacing w:line="480" w:lineRule="auto"/>
        <w:ind w:right="298"/>
        <w:rPr>
          <w:rFonts w:ascii="Garamond" w:hAnsi="Garamond"/>
          <w:b/>
          <w:bCs/>
          <w:smallCaps/>
        </w:rPr>
      </w:pPr>
      <w:r>
        <w:rPr>
          <w:rFonts w:ascii="Garamond" w:hAnsi="Garamond"/>
          <w:b/>
          <w:bCs/>
          <w:smallCaps/>
        </w:rPr>
        <w:t>Abstract</w:t>
      </w:r>
    </w:p>
    <w:p w14:paraId="657AC207" w14:textId="74E2989F" w:rsidR="0027554D" w:rsidRPr="001B7355" w:rsidRDefault="0027554D" w:rsidP="0027554D">
      <w:pPr>
        <w:tabs>
          <w:tab w:val="left" w:pos="9350"/>
        </w:tabs>
        <w:spacing w:line="480" w:lineRule="auto"/>
        <w:ind w:right="298"/>
        <w:rPr>
          <w:rFonts w:ascii="Garamond" w:hAnsi="Garamond"/>
          <w:smallCaps/>
        </w:rPr>
      </w:pPr>
      <w:r w:rsidRPr="001B7355">
        <w:rPr>
          <w:rFonts w:ascii="Garamond" w:hAnsi="Garamond"/>
          <w:smallCaps/>
        </w:rPr>
        <w:t>Research summary</w:t>
      </w:r>
    </w:p>
    <w:p w14:paraId="36C4D9BC" w14:textId="57D8D353" w:rsidR="001E2B34" w:rsidRPr="001B7355" w:rsidRDefault="00815048" w:rsidP="001B7355">
      <w:pPr>
        <w:spacing w:line="360" w:lineRule="auto"/>
        <w:jc w:val="both"/>
        <w:rPr>
          <w:rFonts w:ascii="Garamond" w:hAnsi="Garamond" w:cstheme="minorHAnsi"/>
          <w:b/>
          <w:bCs/>
        </w:rPr>
      </w:pPr>
      <w:r w:rsidRPr="001B7355">
        <w:rPr>
          <w:rFonts w:ascii="Garamond" w:hAnsi="Garamond" w:cstheme="minorHAnsi"/>
        </w:rPr>
        <w:t>On May 20, 2024, the Biden Administration implemented a rule change designed to close the so-called “gun show loophole,” which had allowed unlicensed private sellers to deal firearms without the requirement of conducting background checks on prospective buyers. The rule change broaden</w:t>
      </w:r>
      <w:r w:rsidR="002C3CB8" w:rsidRPr="001B7355">
        <w:rPr>
          <w:rFonts w:ascii="Garamond" w:hAnsi="Garamond" w:cstheme="minorHAnsi"/>
        </w:rPr>
        <w:t>ed</w:t>
      </w:r>
      <w:r w:rsidRPr="001B7355">
        <w:rPr>
          <w:rFonts w:ascii="Garamond" w:hAnsi="Garamond" w:cstheme="minorHAnsi"/>
        </w:rPr>
        <w:t xml:space="preserve"> the definition of individuals classified as dealers </w:t>
      </w:r>
      <w:r w:rsidR="00360323">
        <w:rPr>
          <w:rFonts w:ascii="Garamond" w:hAnsi="Garamond" w:cstheme="minorHAnsi"/>
        </w:rPr>
        <w:t>“</w:t>
      </w:r>
      <w:r w:rsidRPr="001B7355">
        <w:rPr>
          <w:rFonts w:ascii="Garamond" w:hAnsi="Garamond" w:cstheme="minorHAnsi"/>
        </w:rPr>
        <w:t>engaged in the business</w:t>
      </w:r>
      <w:r w:rsidR="00360323">
        <w:rPr>
          <w:rFonts w:ascii="Garamond" w:hAnsi="Garamond" w:cstheme="minorHAnsi"/>
        </w:rPr>
        <w:t>”</w:t>
      </w:r>
      <w:r w:rsidRPr="001B7355">
        <w:rPr>
          <w:rFonts w:ascii="Garamond" w:hAnsi="Garamond" w:cstheme="minorHAnsi"/>
        </w:rPr>
        <w:t xml:space="preserve"> of selling firearms, potentially increasing the proportion of gun sellers who will need to be federally licensed and need to conduct background checks when selling firearms. </w:t>
      </w:r>
      <w:r w:rsidR="002C3CB8" w:rsidRPr="001B7355">
        <w:rPr>
          <w:rFonts w:ascii="Garamond" w:hAnsi="Garamond" w:cstheme="minorHAnsi"/>
        </w:rPr>
        <w:t xml:space="preserve">Accordingly, </w:t>
      </w:r>
      <w:r w:rsidR="002C3CB8" w:rsidRPr="001E2B34">
        <w:rPr>
          <w:rFonts w:ascii="Garamond" w:hAnsi="Garamond"/>
        </w:rPr>
        <w:t xml:space="preserve">in this study we </w:t>
      </w:r>
      <w:r w:rsidR="00062261" w:rsidRPr="001E2B34">
        <w:rPr>
          <w:rFonts w:ascii="Garamond" w:hAnsi="Garamond"/>
        </w:rPr>
        <w:t xml:space="preserve">use a difference-in-differences design as well as an event study design to </w:t>
      </w:r>
      <w:r w:rsidR="002C3CB8" w:rsidRPr="001E2B34">
        <w:rPr>
          <w:rFonts w:ascii="Garamond" w:hAnsi="Garamond"/>
        </w:rPr>
        <w:t xml:space="preserve">examine the effect of the rule change on the number of new Federal Firearm Licensees and the count of background checks completed in each state. </w:t>
      </w:r>
      <w:r w:rsidR="001A1197">
        <w:rPr>
          <w:rFonts w:ascii="Garamond" w:hAnsi="Garamond"/>
        </w:rPr>
        <w:t>Analyses</w:t>
      </w:r>
      <w:r w:rsidR="00062261" w:rsidRPr="001E2B34">
        <w:rPr>
          <w:rFonts w:ascii="Garamond" w:hAnsi="Garamond"/>
        </w:rPr>
        <w:t xml:space="preserve"> </w:t>
      </w:r>
      <w:r w:rsidR="00062261" w:rsidRPr="001E2B34">
        <w:rPr>
          <w:rFonts w:ascii="Garamond" w:hAnsi="Garamond" w:cstheme="minorHAnsi"/>
        </w:rPr>
        <w:t xml:space="preserve">fail to reveal evidence of an increase in new FFLs following the loophole rule change. </w:t>
      </w:r>
      <w:r w:rsidR="001E2B34" w:rsidRPr="001E2B34">
        <w:rPr>
          <w:rFonts w:ascii="Garamond" w:hAnsi="Garamond" w:cstheme="minorHAnsi"/>
        </w:rPr>
        <w:t xml:space="preserve">For background checks, we find suggestive evidence of a delayed and short-term increase following the rule change. However, we caution against interpreting this finding as causal, as the analysis reveals violations of the parallel trends assumption </w:t>
      </w:r>
      <w:r w:rsidR="00411618">
        <w:rPr>
          <w:rFonts w:ascii="Garamond" w:hAnsi="Garamond" w:cstheme="minorHAnsi"/>
        </w:rPr>
        <w:t xml:space="preserve">likely </w:t>
      </w:r>
      <w:r w:rsidR="001E2B34" w:rsidRPr="001E2B34">
        <w:rPr>
          <w:rFonts w:ascii="Garamond" w:hAnsi="Garamond" w:cstheme="minorHAnsi"/>
        </w:rPr>
        <w:t>due</w:t>
      </w:r>
      <w:r w:rsidR="00411618">
        <w:rPr>
          <w:rFonts w:ascii="Garamond" w:hAnsi="Garamond" w:cstheme="minorHAnsi"/>
        </w:rPr>
        <w:t xml:space="preserve"> </w:t>
      </w:r>
      <w:r w:rsidR="001E2B34" w:rsidRPr="001E2B34">
        <w:rPr>
          <w:rFonts w:ascii="Garamond" w:hAnsi="Garamond" w:cstheme="minorHAnsi"/>
        </w:rPr>
        <w:t xml:space="preserve">to recurring seasonal spikes </w:t>
      </w:r>
      <w:r w:rsidR="001A1197">
        <w:rPr>
          <w:rFonts w:ascii="Garamond" w:hAnsi="Garamond" w:cstheme="minorHAnsi"/>
        </w:rPr>
        <w:t xml:space="preserve">in gun purchasing </w:t>
      </w:r>
      <w:r w:rsidR="001E2B34" w:rsidRPr="001E2B34">
        <w:rPr>
          <w:rFonts w:ascii="Garamond" w:hAnsi="Garamond" w:cstheme="minorHAnsi"/>
        </w:rPr>
        <w:t>during the holiday buying season that are of differing magnitudes between treated and control states.</w:t>
      </w:r>
    </w:p>
    <w:p w14:paraId="10345271" w14:textId="77777777" w:rsidR="001E2B34" w:rsidRDefault="001E2B34" w:rsidP="0027554D">
      <w:pPr>
        <w:tabs>
          <w:tab w:val="left" w:pos="9350"/>
        </w:tabs>
        <w:spacing w:line="480" w:lineRule="auto"/>
        <w:ind w:right="298"/>
        <w:rPr>
          <w:rFonts w:ascii="Garamond" w:hAnsi="Garamond"/>
          <w:smallCaps/>
        </w:rPr>
      </w:pPr>
    </w:p>
    <w:p w14:paraId="0107C88D" w14:textId="34934113" w:rsidR="0027554D" w:rsidRDefault="0027554D" w:rsidP="0027554D">
      <w:pPr>
        <w:tabs>
          <w:tab w:val="left" w:pos="9350"/>
        </w:tabs>
        <w:spacing w:line="480" w:lineRule="auto"/>
        <w:ind w:right="298"/>
        <w:rPr>
          <w:rFonts w:ascii="Garamond" w:hAnsi="Garamond"/>
          <w:smallCaps/>
        </w:rPr>
      </w:pPr>
      <w:r w:rsidRPr="001B7355">
        <w:rPr>
          <w:rFonts w:ascii="Garamond" w:hAnsi="Garamond"/>
          <w:smallCaps/>
        </w:rPr>
        <w:t>Policy Implication</w:t>
      </w:r>
      <w:r w:rsidR="002A484A" w:rsidRPr="001B7355">
        <w:rPr>
          <w:rFonts w:ascii="Garamond" w:hAnsi="Garamond"/>
          <w:smallCaps/>
        </w:rPr>
        <w:t>s</w:t>
      </w:r>
    </w:p>
    <w:p w14:paraId="21CAB1C8" w14:textId="32730173" w:rsidR="00B36213" w:rsidRPr="006277A0" w:rsidRDefault="00B36213" w:rsidP="001B7355">
      <w:pPr>
        <w:spacing w:line="360" w:lineRule="auto"/>
        <w:jc w:val="both"/>
        <w:rPr>
          <w:rFonts w:ascii="Garamond" w:hAnsi="Garamond"/>
        </w:rPr>
      </w:pPr>
      <w:r>
        <w:rPr>
          <w:rFonts w:ascii="Garamond" w:hAnsi="Garamond"/>
        </w:rPr>
        <w:t>T</w:t>
      </w:r>
      <w:r w:rsidRPr="006277A0">
        <w:rPr>
          <w:rFonts w:ascii="Garamond" w:hAnsi="Garamond"/>
        </w:rPr>
        <w:t xml:space="preserve">he loophole rule change originated in </w:t>
      </w:r>
      <w:r w:rsidRPr="006A79B9">
        <w:rPr>
          <w:rFonts w:ascii="Garamond" w:hAnsi="Garamond"/>
        </w:rPr>
        <w:t>the Bipartisan Safer Communities Act</w:t>
      </w:r>
      <w:r>
        <w:rPr>
          <w:rFonts w:ascii="Garamond" w:hAnsi="Garamond"/>
        </w:rPr>
        <w:t xml:space="preserve"> of 2022, with the goal of curtailing the </w:t>
      </w:r>
      <w:r w:rsidRPr="006A79B9">
        <w:rPr>
          <w:rFonts w:ascii="Garamond" w:hAnsi="Garamond"/>
        </w:rPr>
        <w:t xml:space="preserve">black market of guns that are being sold by </w:t>
      </w:r>
      <w:r>
        <w:rPr>
          <w:rFonts w:ascii="Garamond" w:hAnsi="Garamond"/>
        </w:rPr>
        <w:t>unlicensed individuals i</w:t>
      </w:r>
      <w:r w:rsidRPr="006A79B9">
        <w:rPr>
          <w:rFonts w:ascii="Garamond" w:hAnsi="Garamond"/>
        </w:rPr>
        <w:t xml:space="preserve">n the business of dealing </w:t>
      </w:r>
      <w:r>
        <w:rPr>
          <w:rFonts w:ascii="Garamond" w:hAnsi="Garamond"/>
        </w:rPr>
        <w:t>firearms. However,</w:t>
      </w:r>
      <w:r w:rsidRPr="006277A0">
        <w:rPr>
          <w:rFonts w:ascii="Garamond" w:hAnsi="Garamond"/>
        </w:rPr>
        <w:t xml:space="preserve"> its impact appears negligible</w:t>
      </w:r>
      <w:r>
        <w:rPr>
          <w:rFonts w:ascii="Garamond" w:hAnsi="Garamond"/>
        </w:rPr>
        <w:t xml:space="preserve"> and largely symbolic</w:t>
      </w:r>
      <w:r w:rsidRPr="006277A0">
        <w:rPr>
          <w:rFonts w:ascii="Garamond" w:hAnsi="Garamond"/>
        </w:rPr>
        <w:t xml:space="preserve">. </w:t>
      </w:r>
      <w:r>
        <w:rPr>
          <w:rFonts w:ascii="Garamond" w:hAnsi="Garamond"/>
        </w:rPr>
        <w:t xml:space="preserve">Its </w:t>
      </w:r>
      <w:r w:rsidR="00053711">
        <w:rPr>
          <w:rFonts w:ascii="Garamond" w:hAnsi="Garamond"/>
        </w:rPr>
        <w:t xml:space="preserve">apparent </w:t>
      </w:r>
      <w:r>
        <w:rPr>
          <w:rFonts w:ascii="Garamond" w:hAnsi="Garamond"/>
        </w:rPr>
        <w:t xml:space="preserve">failure likely stems </w:t>
      </w:r>
      <w:r w:rsidRPr="006277A0">
        <w:rPr>
          <w:rFonts w:ascii="Garamond" w:hAnsi="Garamond"/>
        </w:rPr>
        <w:t xml:space="preserve">from </w:t>
      </w:r>
      <w:r w:rsidR="00675557">
        <w:rPr>
          <w:rFonts w:ascii="Garamond" w:hAnsi="Garamond"/>
        </w:rPr>
        <w:t xml:space="preserve">a combination of </w:t>
      </w:r>
      <w:r w:rsidR="00475FE6">
        <w:rPr>
          <w:rFonts w:ascii="Garamond" w:hAnsi="Garamond"/>
        </w:rPr>
        <w:t xml:space="preserve">weak enforcement, ambiguous regulatory language, and perhaps a miscalculation about the number of sellers that would be affected by </w:t>
      </w:r>
      <w:r w:rsidRPr="006277A0">
        <w:rPr>
          <w:rFonts w:ascii="Garamond" w:hAnsi="Garamond"/>
        </w:rPr>
        <w:t xml:space="preserve">the </w:t>
      </w:r>
      <w:r w:rsidR="00475FE6">
        <w:rPr>
          <w:rFonts w:ascii="Garamond" w:hAnsi="Garamond"/>
        </w:rPr>
        <w:t xml:space="preserve">rule change. </w:t>
      </w:r>
      <w:r w:rsidR="00360323" w:rsidRPr="006277A0">
        <w:rPr>
          <w:rFonts w:ascii="Garamond" w:hAnsi="Garamond"/>
        </w:rPr>
        <w:t>Consequently</w:t>
      </w:r>
      <w:r w:rsidRPr="006277A0">
        <w:rPr>
          <w:rFonts w:ascii="Garamond" w:hAnsi="Garamond"/>
        </w:rPr>
        <w:t xml:space="preserve"> </w:t>
      </w:r>
      <w:r w:rsidRPr="002734E2">
        <w:rPr>
          <w:rFonts w:ascii="Garamond" w:hAnsi="Garamond"/>
        </w:rPr>
        <w:t xml:space="preserve">it seems unlikely that the rule change </w:t>
      </w:r>
      <w:r w:rsidR="007303C0" w:rsidRPr="002734E2">
        <w:rPr>
          <w:rFonts w:ascii="Garamond" w:hAnsi="Garamond"/>
        </w:rPr>
        <w:t>has had</w:t>
      </w:r>
      <w:r w:rsidRPr="002734E2">
        <w:rPr>
          <w:rFonts w:ascii="Garamond" w:hAnsi="Garamond"/>
        </w:rPr>
        <w:t xml:space="preserve"> any meaningful impact on broader outcomes like firearm violence.</w:t>
      </w:r>
    </w:p>
    <w:p w14:paraId="321C1721" w14:textId="77777777" w:rsidR="00675557" w:rsidRDefault="00675557" w:rsidP="0027554D">
      <w:pPr>
        <w:tabs>
          <w:tab w:val="left" w:pos="9350"/>
        </w:tabs>
        <w:spacing w:line="480" w:lineRule="auto"/>
        <w:ind w:right="298"/>
        <w:rPr>
          <w:rFonts w:ascii="Garamond" w:hAnsi="Garamond"/>
          <w:b/>
          <w:bCs/>
          <w:smallCaps/>
          <w:sz w:val="28"/>
          <w:szCs w:val="28"/>
        </w:rPr>
        <w:sectPr w:rsidR="00675557" w:rsidSect="00675557">
          <w:footerReference w:type="default" r:id="rId8"/>
          <w:pgSz w:w="12240" w:h="15840" w:code="1"/>
          <w:pgMar w:top="1440" w:right="1440" w:bottom="1440" w:left="1440" w:header="720" w:footer="576" w:gutter="0"/>
          <w:pgNumType w:start="1"/>
          <w:cols w:space="720"/>
          <w:titlePg/>
          <w:docGrid w:linePitch="360"/>
        </w:sectPr>
      </w:pPr>
    </w:p>
    <w:p w14:paraId="25224B3B" w14:textId="3EA661F1" w:rsidR="0057567E" w:rsidRPr="006A79B9" w:rsidRDefault="0057567E" w:rsidP="0020578C">
      <w:pPr>
        <w:tabs>
          <w:tab w:val="left" w:pos="9350"/>
        </w:tabs>
        <w:spacing w:line="480" w:lineRule="auto"/>
        <w:ind w:right="298"/>
        <w:rPr>
          <w:rFonts w:ascii="Garamond" w:hAnsi="Garamond"/>
          <w:smallCaps/>
        </w:rPr>
      </w:pPr>
      <w:r w:rsidRPr="006A79B9">
        <w:rPr>
          <w:rFonts w:ascii="Garamond" w:hAnsi="Garamond"/>
          <w:b/>
          <w:bCs/>
          <w:smallCaps/>
        </w:rPr>
        <w:lastRenderedPageBreak/>
        <w:t>Background</w:t>
      </w:r>
    </w:p>
    <w:p w14:paraId="2FACD3A7" w14:textId="1F3DB3A0" w:rsidR="0057567E" w:rsidRPr="006A79B9" w:rsidRDefault="009D2561" w:rsidP="0020578C">
      <w:pPr>
        <w:widowControl w:val="0"/>
        <w:spacing w:line="480" w:lineRule="auto"/>
        <w:jc w:val="both"/>
        <w:rPr>
          <w:rFonts w:ascii="Garamond" w:hAnsi="Garamond"/>
        </w:rPr>
      </w:pPr>
      <w:r w:rsidRPr="006A79B9">
        <w:rPr>
          <w:rFonts w:ascii="Garamond" w:hAnsi="Garamond"/>
        </w:rPr>
        <w:t xml:space="preserve">The Brady Handgun Prevention Act, enacted by Congress in 1993 and implemented in 1994, </w:t>
      </w:r>
      <w:r w:rsidR="0057567E" w:rsidRPr="006A79B9">
        <w:rPr>
          <w:rFonts w:ascii="Garamond" w:hAnsi="Garamond"/>
        </w:rPr>
        <w:t xml:space="preserve">requires </w:t>
      </w:r>
      <w:r w:rsidRPr="006A79B9">
        <w:rPr>
          <w:rFonts w:ascii="Garamond" w:hAnsi="Garamond"/>
        </w:rPr>
        <w:t xml:space="preserve">federally </w:t>
      </w:r>
      <w:r w:rsidR="0057567E" w:rsidRPr="006A79B9">
        <w:rPr>
          <w:rFonts w:ascii="Garamond" w:hAnsi="Garamond"/>
        </w:rPr>
        <w:t xml:space="preserve">licensed gun dealers to conduct background checks on prospective purchasers of guns. However, unlicensed sellers who are purportedly not </w:t>
      </w:r>
      <w:r w:rsidR="009F627D" w:rsidRPr="006A79B9">
        <w:rPr>
          <w:rFonts w:ascii="Garamond" w:hAnsi="Garamond"/>
        </w:rPr>
        <w:t>“</w:t>
      </w:r>
      <w:r w:rsidR="0057567E" w:rsidRPr="006A79B9">
        <w:rPr>
          <w:rFonts w:ascii="Garamond" w:hAnsi="Garamond"/>
        </w:rPr>
        <w:t>engaged in the business</w:t>
      </w:r>
      <w:r w:rsidR="009F627D" w:rsidRPr="006A79B9">
        <w:rPr>
          <w:rFonts w:ascii="Garamond" w:hAnsi="Garamond"/>
        </w:rPr>
        <w:t>”</w:t>
      </w:r>
      <w:r w:rsidR="0057567E" w:rsidRPr="006A79B9">
        <w:rPr>
          <w:rFonts w:ascii="Garamond" w:hAnsi="Garamond"/>
        </w:rPr>
        <w:t xml:space="preserve"> of selling guns are not required to conduct background checks on prospective buyers. Yet</w:t>
      </w:r>
      <w:r w:rsidR="007809A0" w:rsidRPr="006A79B9">
        <w:rPr>
          <w:rFonts w:ascii="Garamond" w:hAnsi="Garamond"/>
        </w:rPr>
        <w:t xml:space="preserve"> in 2024</w:t>
      </w:r>
      <w:r w:rsidR="009023A6">
        <w:rPr>
          <w:rFonts w:ascii="Garamond" w:hAnsi="Garamond"/>
        </w:rPr>
        <w:t xml:space="preserve">, </w:t>
      </w:r>
      <w:r w:rsidR="007809A0" w:rsidRPr="006A79B9">
        <w:rPr>
          <w:rFonts w:ascii="Garamond" w:hAnsi="Garamond"/>
        </w:rPr>
        <w:t>then</w:t>
      </w:r>
      <w:r w:rsidR="0057567E" w:rsidRPr="006A79B9">
        <w:rPr>
          <w:rFonts w:ascii="Garamond" w:hAnsi="Garamond"/>
        </w:rPr>
        <w:t xml:space="preserve"> Bureau of Alcohol, Tobacco, Firearms and Explosives (ATF) Director Steven Dettelbach assert</w:t>
      </w:r>
      <w:r w:rsidR="007809A0" w:rsidRPr="006A79B9">
        <w:rPr>
          <w:rFonts w:ascii="Garamond" w:hAnsi="Garamond"/>
        </w:rPr>
        <w:t>ed</w:t>
      </w:r>
      <w:r w:rsidR="0057567E" w:rsidRPr="006A79B9">
        <w:rPr>
          <w:rFonts w:ascii="Garamond" w:hAnsi="Garamond"/>
        </w:rPr>
        <w:t xml:space="preserve">: “There is a large and growing black market of guns that are being sold by people who are in the business of dealing and are doing it without a license; and therefore, they are not running background checks the way the law requires. And it is fueling violence” (DOJ 2024). In support of this contention, researchers estimate that 85% of the guns used in a crime that are recovered by the police were sold at least once through a private party transaction (Wintemute, Braga, and Kennedy 2010). </w:t>
      </w:r>
    </w:p>
    <w:p w14:paraId="0728DF9B" w14:textId="3EE5DFBD" w:rsidR="0057567E" w:rsidRPr="006A79B9" w:rsidRDefault="0057567E" w:rsidP="0020578C">
      <w:pPr>
        <w:widowControl w:val="0"/>
        <w:spacing w:line="480" w:lineRule="auto"/>
        <w:ind w:firstLine="720"/>
        <w:jc w:val="both"/>
        <w:rPr>
          <w:rFonts w:ascii="Garamond" w:hAnsi="Garamond"/>
        </w:rPr>
      </w:pPr>
      <w:r w:rsidRPr="006A79B9">
        <w:rPr>
          <w:rFonts w:ascii="Garamond" w:hAnsi="Garamond"/>
        </w:rPr>
        <w:t xml:space="preserve">To </w:t>
      </w:r>
      <w:r w:rsidR="00491713" w:rsidRPr="006A79B9">
        <w:rPr>
          <w:rFonts w:ascii="Garamond" w:hAnsi="Garamond"/>
        </w:rPr>
        <w:t>compensate for</w:t>
      </w:r>
      <w:r w:rsidRPr="006A79B9">
        <w:rPr>
          <w:rFonts w:ascii="Garamond" w:hAnsi="Garamond"/>
        </w:rPr>
        <w:t xml:space="preserve"> this </w:t>
      </w:r>
      <w:r w:rsidR="00491713" w:rsidRPr="006A79B9">
        <w:rPr>
          <w:rFonts w:ascii="Garamond" w:hAnsi="Garamond"/>
        </w:rPr>
        <w:t xml:space="preserve">federal </w:t>
      </w:r>
      <w:r w:rsidRPr="006A79B9">
        <w:rPr>
          <w:rFonts w:ascii="Garamond" w:hAnsi="Garamond"/>
        </w:rPr>
        <w:t>regulatory gap, known as the “gun show loophole,” 21 US states and the District of Columbia require universal background checks on all or most firearm sales, including private sales.</w:t>
      </w:r>
      <w:r w:rsidRPr="006A79B9">
        <w:rPr>
          <w:rStyle w:val="FootnoteReference"/>
          <w:rFonts w:ascii="Garamond" w:hAnsi="Garamond"/>
        </w:rPr>
        <w:footnoteReference w:id="1"/>
      </w:r>
      <w:r w:rsidRPr="006A79B9">
        <w:rPr>
          <w:rFonts w:ascii="Garamond" w:hAnsi="Garamond"/>
        </w:rPr>
        <w:t xml:space="preserve"> </w:t>
      </w:r>
      <w:r w:rsidR="00683A95" w:rsidRPr="006A79B9">
        <w:rPr>
          <w:rFonts w:ascii="Garamond" w:hAnsi="Garamond"/>
        </w:rPr>
        <w:t xml:space="preserve">Research on </w:t>
      </w:r>
      <w:r w:rsidR="00825CF1" w:rsidRPr="006A79B9">
        <w:rPr>
          <w:rFonts w:ascii="Garamond" w:hAnsi="Garamond"/>
        </w:rPr>
        <w:t xml:space="preserve">prior </w:t>
      </w:r>
      <w:r w:rsidR="00683A95" w:rsidRPr="006A79B9">
        <w:rPr>
          <w:rFonts w:ascii="Garamond" w:hAnsi="Garamond"/>
        </w:rPr>
        <w:t xml:space="preserve">changes in </w:t>
      </w:r>
      <w:r w:rsidR="00963B0B" w:rsidRPr="006A79B9">
        <w:rPr>
          <w:rFonts w:ascii="Garamond" w:hAnsi="Garamond"/>
        </w:rPr>
        <w:t xml:space="preserve">state </w:t>
      </w:r>
      <w:r w:rsidR="00683A95" w:rsidRPr="006A79B9">
        <w:rPr>
          <w:rFonts w:ascii="Garamond" w:hAnsi="Garamond"/>
        </w:rPr>
        <w:t xml:space="preserve">laws </w:t>
      </w:r>
      <w:r w:rsidR="00963B0B" w:rsidRPr="006A79B9">
        <w:rPr>
          <w:rFonts w:ascii="Garamond" w:hAnsi="Garamond"/>
        </w:rPr>
        <w:t xml:space="preserve">related to </w:t>
      </w:r>
      <w:r w:rsidR="00683A95" w:rsidRPr="006A79B9">
        <w:rPr>
          <w:rFonts w:ascii="Garamond" w:hAnsi="Garamond"/>
        </w:rPr>
        <w:t xml:space="preserve">universal background checks </w:t>
      </w:r>
      <w:r w:rsidR="00825CF1" w:rsidRPr="006A79B9">
        <w:rPr>
          <w:rFonts w:ascii="Garamond" w:hAnsi="Garamond"/>
        </w:rPr>
        <w:t>suggests</w:t>
      </w:r>
      <w:r w:rsidR="00683A95" w:rsidRPr="006A79B9">
        <w:rPr>
          <w:rFonts w:ascii="Garamond" w:hAnsi="Garamond"/>
        </w:rPr>
        <w:t xml:space="preserve"> that whereas point-of-sale background checks </w:t>
      </w:r>
      <w:r w:rsidR="003279B8" w:rsidRPr="006A79B9">
        <w:rPr>
          <w:rFonts w:ascii="Garamond" w:hAnsi="Garamond"/>
        </w:rPr>
        <w:t xml:space="preserve">alone </w:t>
      </w:r>
      <w:r w:rsidR="00683A95" w:rsidRPr="006A79B9">
        <w:rPr>
          <w:rFonts w:ascii="Garamond" w:hAnsi="Garamond"/>
        </w:rPr>
        <w:t>do not appear to be related to subsequent rates of firearm violence, universal background checks</w:t>
      </w:r>
      <w:r w:rsidR="00C528DB" w:rsidRPr="006A79B9">
        <w:rPr>
          <w:rFonts w:ascii="Garamond" w:hAnsi="Garamond"/>
        </w:rPr>
        <w:t>,</w:t>
      </w:r>
      <w:r w:rsidR="00683A95" w:rsidRPr="006A79B9">
        <w:rPr>
          <w:rFonts w:ascii="Garamond" w:hAnsi="Garamond"/>
        </w:rPr>
        <w:t xml:space="preserve"> </w:t>
      </w:r>
      <w:r w:rsidR="00825CF1" w:rsidRPr="006A79B9">
        <w:rPr>
          <w:rFonts w:ascii="Garamond" w:hAnsi="Garamond"/>
        </w:rPr>
        <w:t xml:space="preserve">when </w:t>
      </w:r>
      <w:r w:rsidR="00683A95" w:rsidRPr="006A79B9">
        <w:rPr>
          <w:rFonts w:ascii="Garamond" w:hAnsi="Garamond"/>
        </w:rPr>
        <w:t>paired with permit-to-purchase laws</w:t>
      </w:r>
      <w:r w:rsidR="00C528DB" w:rsidRPr="006A79B9">
        <w:rPr>
          <w:rFonts w:ascii="Garamond" w:hAnsi="Garamond"/>
        </w:rPr>
        <w:t>,</w:t>
      </w:r>
      <w:r w:rsidR="00683A95" w:rsidRPr="006A79B9">
        <w:rPr>
          <w:rFonts w:ascii="Garamond" w:hAnsi="Garamond"/>
        </w:rPr>
        <w:t xml:space="preserve"> are associated with a significant reduction in firearm homicide (McCourt et al. 20</w:t>
      </w:r>
      <w:r w:rsidR="007B3A9E" w:rsidRPr="006A79B9">
        <w:rPr>
          <w:rFonts w:ascii="Garamond" w:hAnsi="Garamond"/>
        </w:rPr>
        <w:t>20</w:t>
      </w:r>
      <w:r w:rsidR="00683A95" w:rsidRPr="006A79B9">
        <w:rPr>
          <w:rFonts w:ascii="Garamond" w:hAnsi="Garamond"/>
        </w:rPr>
        <w:t>; Siegel 2024)</w:t>
      </w:r>
      <w:r w:rsidR="00963B0B" w:rsidRPr="006A79B9">
        <w:rPr>
          <w:rFonts w:ascii="Garamond" w:hAnsi="Garamond"/>
        </w:rPr>
        <w:t>.</w:t>
      </w:r>
      <w:r w:rsidR="00683A95" w:rsidRPr="006A79B9">
        <w:rPr>
          <w:rFonts w:ascii="Garamond" w:hAnsi="Garamond"/>
        </w:rPr>
        <w:t xml:space="preserve"> </w:t>
      </w:r>
      <w:r w:rsidRPr="006A79B9">
        <w:rPr>
          <w:rFonts w:ascii="Garamond" w:hAnsi="Garamond"/>
        </w:rPr>
        <w:t>Nevertheless, in the other 29 states, transactions taking place between buyers and private sellers did not require a background check if the seller was only making occasional sales. This gun show loophole contributed to the fact that an estimated 13% of recent firearm purchases in the US occurred without a background check, including 50% of private purchases made online, at gun shows, or otherwise outside of stores and pawn shops (Miller, Hepburn, and Azrael 2017). Wh</w:t>
      </w:r>
      <w:r w:rsidR="00C528DB" w:rsidRPr="006A79B9">
        <w:rPr>
          <w:rFonts w:ascii="Garamond" w:hAnsi="Garamond"/>
        </w:rPr>
        <w:t>ile</w:t>
      </w:r>
      <w:r w:rsidRPr="006A79B9">
        <w:rPr>
          <w:rFonts w:ascii="Garamond" w:hAnsi="Garamond"/>
        </w:rPr>
        <w:t xml:space="preserve"> there</w:t>
      </w:r>
      <w:r w:rsidR="00E11220" w:rsidRPr="006A79B9">
        <w:rPr>
          <w:rFonts w:ascii="Garamond" w:hAnsi="Garamond"/>
        </w:rPr>
        <w:t xml:space="preserve"> is</w:t>
      </w:r>
      <w:r w:rsidRPr="006A79B9">
        <w:rPr>
          <w:rFonts w:ascii="Garamond" w:hAnsi="Garamond"/>
        </w:rPr>
        <w:t xml:space="preserve"> debate in the </w:t>
      </w:r>
      <w:r w:rsidRPr="006A79B9">
        <w:rPr>
          <w:rFonts w:ascii="Garamond" w:hAnsi="Garamond"/>
        </w:rPr>
        <w:lastRenderedPageBreak/>
        <w:t xml:space="preserve">academic literature as to whether gun show sales, specifically, </w:t>
      </w:r>
      <w:proofErr w:type="gramStart"/>
      <w:r w:rsidRPr="006A79B9">
        <w:rPr>
          <w:rFonts w:ascii="Garamond" w:hAnsi="Garamond"/>
        </w:rPr>
        <w:t>have an effect on</w:t>
      </w:r>
      <w:proofErr w:type="gramEnd"/>
      <w:r w:rsidRPr="006A79B9">
        <w:rPr>
          <w:rFonts w:ascii="Garamond" w:hAnsi="Garamond"/>
        </w:rPr>
        <w:t xml:space="preserve"> gun-related deaths (Duggan, </w:t>
      </w:r>
      <w:r w:rsidRPr="006A79B9">
        <w:rPr>
          <w:rFonts w:ascii="Garamond" w:eastAsia="Times New Roman" w:hAnsi="Garamond" w:cs="Times New Roman"/>
          <w:kern w:val="36"/>
        </w:rPr>
        <w:t>Hjalmarsson</w:t>
      </w:r>
      <w:r w:rsidRPr="006A79B9">
        <w:rPr>
          <w:rFonts w:ascii="Garamond" w:hAnsi="Garamond"/>
        </w:rPr>
        <w:t xml:space="preserve">, and Jacob 2011; Wintemute et al. 2010), the so-called loophole is applicable to all private party sales despite the moniker of “gun show.” </w:t>
      </w:r>
    </w:p>
    <w:p w14:paraId="6571A491" w14:textId="201603FA" w:rsidR="006E7800" w:rsidRPr="006A79B9" w:rsidRDefault="0057567E" w:rsidP="009023A6">
      <w:pPr>
        <w:widowControl w:val="0"/>
        <w:spacing w:line="480" w:lineRule="auto"/>
        <w:ind w:firstLine="720"/>
        <w:jc w:val="both"/>
        <w:rPr>
          <w:rFonts w:ascii="Garamond" w:hAnsi="Garamond"/>
        </w:rPr>
      </w:pPr>
      <w:r w:rsidRPr="006A79B9">
        <w:rPr>
          <w:rFonts w:ascii="Garamond" w:hAnsi="Garamond"/>
        </w:rPr>
        <w:t xml:space="preserve"> </w:t>
      </w:r>
      <w:r w:rsidR="003918EA">
        <w:rPr>
          <w:rFonts w:ascii="Garamond" w:hAnsi="Garamond"/>
        </w:rPr>
        <w:t>A</w:t>
      </w:r>
      <w:r w:rsidR="003918EA" w:rsidRPr="006A79B9">
        <w:rPr>
          <w:rFonts w:ascii="Garamond" w:hAnsi="Garamond"/>
        </w:rPr>
        <w:t xml:space="preserve">s part of </w:t>
      </w:r>
      <w:r w:rsidR="00E56D1D">
        <w:rPr>
          <w:rFonts w:ascii="Garamond" w:hAnsi="Garamond"/>
        </w:rPr>
        <w:t xml:space="preserve">the </w:t>
      </w:r>
      <w:r w:rsidR="000802A1">
        <w:rPr>
          <w:rFonts w:ascii="Garamond" w:hAnsi="Garamond"/>
        </w:rPr>
        <w:t>steps to</w:t>
      </w:r>
      <w:r w:rsidR="003918EA" w:rsidRPr="006A79B9">
        <w:rPr>
          <w:rFonts w:ascii="Garamond" w:hAnsi="Garamond"/>
        </w:rPr>
        <w:t xml:space="preserve"> implement the </w:t>
      </w:r>
      <w:r w:rsidR="00E56D1D">
        <w:rPr>
          <w:rFonts w:ascii="Garamond" w:hAnsi="Garamond"/>
        </w:rPr>
        <w:t xml:space="preserve">2022 </w:t>
      </w:r>
      <w:r w:rsidR="003918EA" w:rsidRPr="006A79B9">
        <w:rPr>
          <w:rFonts w:ascii="Garamond" w:hAnsi="Garamond"/>
        </w:rPr>
        <w:t>Bipartisan Safer Communities Act</w:t>
      </w:r>
      <w:r w:rsidR="003918EA">
        <w:rPr>
          <w:rFonts w:ascii="Garamond" w:hAnsi="Garamond"/>
        </w:rPr>
        <w:t>, o</w:t>
      </w:r>
      <w:r w:rsidRPr="006A79B9">
        <w:rPr>
          <w:rFonts w:ascii="Garamond" w:hAnsi="Garamond"/>
        </w:rPr>
        <w:t>n April 10, 2024, the</w:t>
      </w:r>
      <w:r w:rsidR="003918EA">
        <w:rPr>
          <w:rFonts w:ascii="Garamond" w:hAnsi="Garamond"/>
        </w:rPr>
        <w:t>n U.S Attorney General Merrick Garland signed off on a rule change taken</w:t>
      </w:r>
      <w:r w:rsidRPr="006A79B9">
        <w:rPr>
          <w:rFonts w:ascii="Garamond" w:hAnsi="Garamond"/>
        </w:rPr>
        <w:t xml:space="preserve"> to close the gun show loophole.</w:t>
      </w:r>
      <w:r w:rsidR="003918EA">
        <w:rPr>
          <w:rStyle w:val="FootnoteReference"/>
          <w:rFonts w:ascii="Garamond" w:hAnsi="Garamond"/>
        </w:rPr>
        <w:footnoteReference w:id="2"/>
      </w:r>
      <w:r w:rsidRPr="006A79B9">
        <w:rPr>
          <w:rFonts w:ascii="Garamond" w:hAnsi="Garamond"/>
        </w:rPr>
        <w:t xml:space="preserve"> It sought to do so by broadening the definition</w:t>
      </w:r>
      <w:r w:rsidR="00024386" w:rsidRPr="006A79B9">
        <w:rPr>
          <w:rFonts w:ascii="Garamond" w:hAnsi="Garamond"/>
        </w:rPr>
        <w:t>—in title 27 of the Code of Federal Regulations, part 478—</w:t>
      </w:r>
      <w:r w:rsidRPr="006A79B9">
        <w:rPr>
          <w:rFonts w:ascii="Garamond" w:hAnsi="Garamond"/>
        </w:rPr>
        <w:t xml:space="preserve">of who exactly is a dealer </w:t>
      </w:r>
      <w:r w:rsidR="00294144" w:rsidRPr="006A79B9">
        <w:rPr>
          <w:rFonts w:ascii="Garamond" w:hAnsi="Garamond"/>
        </w:rPr>
        <w:t>“</w:t>
      </w:r>
      <w:r w:rsidRPr="006A79B9">
        <w:rPr>
          <w:rFonts w:ascii="Garamond" w:hAnsi="Garamond"/>
        </w:rPr>
        <w:t>engaged in the business</w:t>
      </w:r>
      <w:r w:rsidR="00294144" w:rsidRPr="006A79B9">
        <w:rPr>
          <w:rFonts w:ascii="Garamond" w:hAnsi="Garamond"/>
        </w:rPr>
        <w:t>”</w:t>
      </w:r>
      <w:r w:rsidRPr="006A79B9">
        <w:rPr>
          <w:rFonts w:ascii="Garamond" w:hAnsi="Garamond"/>
        </w:rPr>
        <w:t xml:space="preserve"> of selling firearms, potentially increasing the proportion of gun sellers who will need to be federally licensed and need to conduct background checks when</w:t>
      </w:r>
      <w:r w:rsidR="009023A6">
        <w:rPr>
          <w:rFonts w:ascii="Garamond" w:hAnsi="Garamond"/>
        </w:rPr>
        <w:t xml:space="preserve"> legally</w:t>
      </w:r>
      <w:r w:rsidRPr="006A79B9">
        <w:rPr>
          <w:rFonts w:ascii="Garamond" w:hAnsi="Garamond"/>
        </w:rPr>
        <w:t xml:space="preserve"> selling firearms. Individuals who deal in firearms to </w:t>
      </w:r>
      <w:r w:rsidR="006E7800" w:rsidRPr="006A79B9">
        <w:rPr>
          <w:rFonts w:ascii="Garamond" w:hAnsi="Garamond"/>
        </w:rPr>
        <w:t>“</w:t>
      </w:r>
      <w:r w:rsidRPr="006A79B9">
        <w:rPr>
          <w:rFonts w:ascii="Garamond" w:hAnsi="Garamond"/>
        </w:rPr>
        <w:t>predominately earn a profit</w:t>
      </w:r>
      <w:r w:rsidR="006E7800" w:rsidRPr="006A79B9">
        <w:rPr>
          <w:rFonts w:ascii="Garamond" w:hAnsi="Garamond"/>
        </w:rPr>
        <w:t>”</w:t>
      </w:r>
      <w:r w:rsidRPr="006A79B9">
        <w:rPr>
          <w:rFonts w:ascii="Garamond" w:hAnsi="Garamond"/>
        </w:rPr>
        <w:t xml:space="preserve"> through repetitive purchase and resale will require a federal license to do so (Federal Register 2024), with the rule change applicable to any such individuals, not just those seeking to sell at gun shows.</w:t>
      </w:r>
      <w:r w:rsidR="00024386" w:rsidRPr="006A79B9">
        <w:rPr>
          <w:rFonts w:ascii="Garamond" w:hAnsi="Garamond"/>
        </w:rPr>
        <w:t xml:space="preserve"> </w:t>
      </w:r>
      <w:r w:rsidR="006E7800" w:rsidRPr="006A79B9">
        <w:rPr>
          <w:rFonts w:ascii="Garamond" w:hAnsi="Garamond"/>
        </w:rPr>
        <w:t>Specifically, ATF advised sellers: “You will need a license if you are devoting time, attention, and labor to dealing in firearms as a regular course of trade or business to predominantly earn a profit through the repetitive purchase and resale of firearms…By contrast, if you make only occasional resales of firearms to enhance your personal collection or if you liquidate your personal collection (without restocking), you do not need to be licensed” (ATF 2024, p. i).</w:t>
      </w:r>
      <w:r w:rsidR="00A52BEF" w:rsidRPr="006A79B9">
        <w:rPr>
          <w:rFonts w:ascii="Garamond" w:hAnsi="Garamond"/>
        </w:rPr>
        <w:t xml:space="preserve"> Previously the rule did not include the statement on intent to “predominantly earn a profit.” The penalty for dealing in firearms without a license is up to five years of imprisonment and/or a fine up to $250,000.</w:t>
      </w:r>
    </w:p>
    <w:p w14:paraId="65884F13" w14:textId="41AD2640" w:rsidR="00294144" w:rsidRPr="006A79B9" w:rsidRDefault="0057567E" w:rsidP="009023A6">
      <w:pPr>
        <w:widowControl w:val="0"/>
        <w:spacing w:line="480" w:lineRule="auto"/>
        <w:ind w:firstLine="720"/>
        <w:jc w:val="both"/>
        <w:rPr>
          <w:rFonts w:ascii="Garamond" w:hAnsi="Garamond"/>
        </w:rPr>
      </w:pPr>
      <w:r w:rsidRPr="006A79B9">
        <w:rPr>
          <w:rFonts w:ascii="Garamond" w:hAnsi="Garamond"/>
        </w:rPr>
        <w:t xml:space="preserve">The rule change took effect on May 20, 2024 (Federal Register 2024), </w:t>
      </w:r>
      <w:r w:rsidR="00294144" w:rsidRPr="006A79B9">
        <w:rPr>
          <w:rFonts w:ascii="Garamond" w:hAnsi="Garamond"/>
        </w:rPr>
        <w:t xml:space="preserve">although a federal lawsuit </w:t>
      </w:r>
      <w:r w:rsidR="00294144" w:rsidRPr="006A79B9">
        <w:rPr>
          <w:rFonts w:ascii="Garamond" w:hAnsi="Garamond"/>
        </w:rPr>
        <w:lastRenderedPageBreak/>
        <w:t xml:space="preserve">filed in the Northern District of Texas (case 2:24-CV-00089-Z) provided </w:t>
      </w:r>
      <w:r w:rsidR="00A34C48">
        <w:rPr>
          <w:rFonts w:ascii="Garamond" w:hAnsi="Garamond"/>
        </w:rPr>
        <w:t>preliminary</w:t>
      </w:r>
      <w:r w:rsidR="00294144" w:rsidRPr="006A79B9">
        <w:rPr>
          <w:rFonts w:ascii="Garamond" w:hAnsi="Garamond"/>
        </w:rPr>
        <w:t xml:space="preserve"> injunctive relief to the states of Texas, Louisiana, Mississippi, and Utah from the requirement to implement the rule change.</w:t>
      </w:r>
      <w:r w:rsidR="006E4C70">
        <w:rPr>
          <w:rStyle w:val="FootnoteReference"/>
          <w:rFonts w:ascii="Garamond" w:hAnsi="Garamond"/>
        </w:rPr>
        <w:footnoteReference w:id="3"/>
      </w:r>
      <w:r w:rsidR="009F627D" w:rsidRPr="006A79B9">
        <w:rPr>
          <w:rFonts w:ascii="Garamond" w:hAnsi="Garamond"/>
        </w:rPr>
        <w:t xml:space="preserve"> This injunctive relief </w:t>
      </w:r>
      <w:r w:rsidR="00933363" w:rsidRPr="006A79B9">
        <w:rPr>
          <w:rFonts w:ascii="Garamond" w:hAnsi="Garamond"/>
        </w:rPr>
        <w:t xml:space="preserve">remained in effect throughout the first year after the rule change took effect—the period examined in this study—meaning that the rule change was not in effect in these four states during the period under investigation but was technically in effect elsewhere.   </w:t>
      </w:r>
    </w:p>
    <w:p w14:paraId="2611D748" w14:textId="77777777" w:rsidR="00294144" w:rsidRPr="006A79B9" w:rsidRDefault="00294144" w:rsidP="0020578C">
      <w:pPr>
        <w:widowControl w:val="0"/>
        <w:spacing w:line="480" w:lineRule="auto"/>
        <w:jc w:val="both"/>
        <w:rPr>
          <w:rFonts w:ascii="Garamond" w:hAnsi="Garamond"/>
        </w:rPr>
      </w:pPr>
    </w:p>
    <w:p w14:paraId="7C4009AC" w14:textId="351FED19" w:rsidR="0057567E" w:rsidRPr="006A79B9" w:rsidRDefault="0057567E" w:rsidP="0020578C">
      <w:pPr>
        <w:tabs>
          <w:tab w:val="left" w:pos="9350"/>
        </w:tabs>
        <w:spacing w:line="480" w:lineRule="auto"/>
        <w:ind w:right="298"/>
        <w:rPr>
          <w:rFonts w:ascii="Garamond" w:hAnsi="Garamond"/>
          <w:smallCaps/>
        </w:rPr>
      </w:pPr>
      <w:r w:rsidRPr="006A79B9">
        <w:rPr>
          <w:rFonts w:ascii="Garamond" w:hAnsi="Garamond"/>
          <w:b/>
          <w:bCs/>
          <w:smallCaps/>
        </w:rPr>
        <w:t>Research Questions</w:t>
      </w:r>
      <w:r w:rsidR="003B4DE5" w:rsidRPr="006A79B9">
        <w:rPr>
          <w:rFonts w:ascii="Garamond" w:hAnsi="Garamond"/>
          <w:b/>
          <w:bCs/>
          <w:smallCaps/>
        </w:rPr>
        <w:t xml:space="preserve"> and Hypotheses</w:t>
      </w:r>
    </w:p>
    <w:p w14:paraId="3FC01953" w14:textId="3EFDBE4B" w:rsidR="0057567E" w:rsidRPr="006A79B9" w:rsidRDefault="0057567E" w:rsidP="0020578C">
      <w:pPr>
        <w:widowControl w:val="0"/>
        <w:spacing w:line="480" w:lineRule="auto"/>
        <w:jc w:val="both"/>
        <w:rPr>
          <w:rFonts w:ascii="Garamond" w:hAnsi="Garamond"/>
        </w:rPr>
      </w:pPr>
      <w:r w:rsidRPr="006A79B9">
        <w:rPr>
          <w:rFonts w:ascii="Garamond" w:hAnsi="Garamond"/>
        </w:rPr>
        <w:t xml:space="preserve">If the Biden Administration </w:t>
      </w:r>
      <w:r w:rsidR="00294144" w:rsidRPr="006A79B9">
        <w:rPr>
          <w:rFonts w:ascii="Garamond" w:hAnsi="Garamond"/>
        </w:rPr>
        <w:t>w</w:t>
      </w:r>
      <w:r w:rsidRPr="006A79B9">
        <w:rPr>
          <w:rFonts w:ascii="Garamond" w:hAnsi="Garamond"/>
        </w:rPr>
        <w:t xml:space="preserve">as successful in closing, or narrowing, the gun show loophole, </w:t>
      </w:r>
      <w:r w:rsidR="00491713" w:rsidRPr="006A79B9">
        <w:rPr>
          <w:rFonts w:ascii="Garamond" w:hAnsi="Garamond"/>
        </w:rPr>
        <w:t xml:space="preserve">this should manifest in </w:t>
      </w:r>
      <w:r w:rsidRPr="006A79B9">
        <w:rPr>
          <w:rFonts w:ascii="Garamond" w:hAnsi="Garamond"/>
        </w:rPr>
        <w:t xml:space="preserve">changes </w:t>
      </w:r>
      <w:proofErr w:type="gramStart"/>
      <w:r w:rsidRPr="006A79B9">
        <w:rPr>
          <w:rFonts w:ascii="Garamond" w:hAnsi="Garamond"/>
        </w:rPr>
        <w:t>in the nature of gun</w:t>
      </w:r>
      <w:proofErr w:type="gramEnd"/>
      <w:r w:rsidRPr="006A79B9">
        <w:rPr>
          <w:rFonts w:ascii="Garamond" w:hAnsi="Garamond"/>
        </w:rPr>
        <w:t xml:space="preserve"> transactions, including a decreasing number and proportion of sales through private unlicensed sellers that do not undertake background checks. </w:t>
      </w:r>
      <w:r w:rsidR="00132082" w:rsidRPr="006A79B9">
        <w:rPr>
          <w:rFonts w:ascii="Garamond" w:hAnsi="Garamond"/>
        </w:rPr>
        <w:t>W</w:t>
      </w:r>
      <w:r w:rsidR="00963829" w:rsidRPr="006A79B9">
        <w:rPr>
          <w:rFonts w:ascii="Garamond" w:hAnsi="Garamond"/>
        </w:rPr>
        <w:t xml:space="preserve">hereas much evaluation research on gun policy focuses only on violence outcomes, </w:t>
      </w:r>
      <w:r w:rsidR="00E9150D" w:rsidRPr="006A79B9">
        <w:rPr>
          <w:rFonts w:ascii="Garamond" w:hAnsi="Garamond"/>
        </w:rPr>
        <w:t>the</w:t>
      </w:r>
      <w:r w:rsidR="002B040C" w:rsidRPr="006A79B9">
        <w:rPr>
          <w:rFonts w:ascii="Garamond" w:hAnsi="Garamond"/>
        </w:rPr>
        <w:t xml:space="preserve"> central</w:t>
      </w:r>
      <w:r w:rsidR="00E11220" w:rsidRPr="006A79B9">
        <w:rPr>
          <w:rFonts w:ascii="Garamond" w:hAnsi="Garamond"/>
        </w:rPr>
        <w:t xml:space="preserve"> aim of </w:t>
      </w:r>
      <w:r w:rsidR="00294144" w:rsidRPr="006A79B9">
        <w:rPr>
          <w:rFonts w:ascii="Garamond" w:hAnsi="Garamond"/>
        </w:rPr>
        <w:t>this</w:t>
      </w:r>
      <w:r w:rsidR="00E11220" w:rsidRPr="006A79B9">
        <w:rPr>
          <w:rFonts w:ascii="Garamond" w:hAnsi="Garamond"/>
        </w:rPr>
        <w:t xml:space="preserve"> study is to comprehensively examine the </w:t>
      </w:r>
      <w:r w:rsidR="00294144" w:rsidRPr="006A79B9">
        <w:rPr>
          <w:rFonts w:ascii="Garamond" w:hAnsi="Garamond"/>
        </w:rPr>
        <w:t xml:space="preserve">more proximal outcomes of </w:t>
      </w:r>
      <w:r w:rsidR="00F05141">
        <w:rPr>
          <w:rFonts w:ascii="Garamond" w:hAnsi="Garamond"/>
        </w:rPr>
        <w:t xml:space="preserve">the </w:t>
      </w:r>
      <w:r w:rsidR="00294144" w:rsidRPr="006A79B9">
        <w:rPr>
          <w:rFonts w:ascii="Garamond" w:hAnsi="Garamond"/>
        </w:rPr>
        <w:t>regulatory change, which might then serve as mediators of the effect of the regulation on violence. Accordingly, in this study w</w:t>
      </w:r>
      <w:r w:rsidRPr="006A79B9">
        <w:rPr>
          <w:rFonts w:ascii="Garamond" w:hAnsi="Garamond"/>
        </w:rPr>
        <w:t xml:space="preserve">e examine the effect </w:t>
      </w:r>
      <w:r w:rsidR="0091231D" w:rsidRPr="006A79B9">
        <w:rPr>
          <w:rFonts w:ascii="Garamond" w:hAnsi="Garamond"/>
        </w:rPr>
        <w:t xml:space="preserve">of the rule change </w:t>
      </w:r>
      <w:r w:rsidRPr="006A79B9">
        <w:rPr>
          <w:rFonts w:ascii="Garamond" w:hAnsi="Garamond"/>
        </w:rPr>
        <w:t xml:space="preserve">on the number of </w:t>
      </w:r>
      <w:r w:rsidR="00475A19">
        <w:rPr>
          <w:rFonts w:ascii="Garamond" w:hAnsi="Garamond"/>
        </w:rPr>
        <w:t xml:space="preserve">new </w:t>
      </w:r>
      <w:r w:rsidRPr="006A79B9">
        <w:rPr>
          <w:rFonts w:ascii="Garamond" w:hAnsi="Garamond"/>
        </w:rPr>
        <w:t>Federal Firearm Licensees</w:t>
      </w:r>
      <w:r w:rsidR="00294144" w:rsidRPr="006A79B9">
        <w:rPr>
          <w:rFonts w:ascii="Garamond" w:hAnsi="Garamond"/>
        </w:rPr>
        <w:t xml:space="preserve"> </w:t>
      </w:r>
      <w:r w:rsidR="00E12F6A" w:rsidRPr="006A79B9">
        <w:rPr>
          <w:rFonts w:ascii="Garamond" w:hAnsi="Garamond"/>
        </w:rPr>
        <w:t>(FFL</w:t>
      </w:r>
      <w:r w:rsidR="00443BE9">
        <w:rPr>
          <w:rFonts w:ascii="Garamond" w:hAnsi="Garamond"/>
        </w:rPr>
        <w:t>s</w:t>
      </w:r>
      <w:r w:rsidR="00E12F6A" w:rsidRPr="006A79B9">
        <w:rPr>
          <w:rFonts w:ascii="Garamond" w:hAnsi="Garamond"/>
        </w:rPr>
        <w:t xml:space="preserve">) </w:t>
      </w:r>
      <w:r w:rsidR="00294144" w:rsidRPr="006A79B9">
        <w:rPr>
          <w:rFonts w:ascii="Garamond" w:hAnsi="Garamond"/>
        </w:rPr>
        <w:t xml:space="preserve">and </w:t>
      </w:r>
      <w:r w:rsidRPr="006A79B9">
        <w:rPr>
          <w:rFonts w:ascii="Garamond" w:hAnsi="Garamond"/>
        </w:rPr>
        <w:t xml:space="preserve">the count of background checks completed in each state. We ask: </w:t>
      </w:r>
    </w:p>
    <w:p w14:paraId="01FE4B67" w14:textId="77353A3B" w:rsidR="004520FB" w:rsidRPr="006A79B9" w:rsidRDefault="004520FB" w:rsidP="0020578C">
      <w:pPr>
        <w:pStyle w:val="ListParagraph"/>
        <w:widowControl w:val="0"/>
        <w:numPr>
          <w:ilvl w:val="0"/>
          <w:numId w:val="1"/>
        </w:numPr>
        <w:spacing w:line="480" w:lineRule="auto"/>
        <w:jc w:val="both"/>
        <w:rPr>
          <w:rFonts w:ascii="Garamond" w:hAnsi="Garamond"/>
        </w:rPr>
      </w:pPr>
      <w:r w:rsidRPr="006A79B9">
        <w:rPr>
          <w:rFonts w:ascii="Garamond" w:hAnsi="Garamond"/>
        </w:rPr>
        <w:t xml:space="preserve">Did the </w:t>
      </w:r>
      <w:r w:rsidR="00491713" w:rsidRPr="006A79B9">
        <w:rPr>
          <w:rFonts w:ascii="Garamond" w:hAnsi="Garamond"/>
        </w:rPr>
        <w:t xml:space="preserve">loophole </w:t>
      </w:r>
      <w:r w:rsidRPr="006A79B9">
        <w:rPr>
          <w:rFonts w:ascii="Garamond" w:hAnsi="Garamond"/>
        </w:rPr>
        <w:t xml:space="preserve">rule change lead to an increase in the number of </w:t>
      </w:r>
      <w:r w:rsidR="00443BE9">
        <w:rPr>
          <w:rFonts w:ascii="Garamond" w:hAnsi="Garamond"/>
        </w:rPr>
        <w:t xml:space="preserve">new </w:t>
      </w:r>
      <w:r w:rsidRPr="006A79B9">
        <w:rPr>
          <w:rFonts w:ascii="Garamond" w:hAnsi="Garamond"/>
        </w:rPr>
        <w:t>Federal Firearms Licensees?</w:t>
      </w:r>
    </w:p>
    <w:p w14:paraId="139F6D70" w14:textId="17F265FC" w:rsidR="004520FB" w:rsidRPr="006A79B9" w:rsidRDefault="004520FB" w:rsidP="0020578C">
      <w:pPr>
        <w:pStyle w:val="ListParagraph"/>
        <w:widowControl w:val="0"/>
        <w:numPr>
          <w:ilvl w:val="0"/>
          <w:numId w:val="1"/>
        </w:numPr>
        <w:spacing w:line="480" w:lineRule="auto"/>
        <w:jc w:val="both"/>
        <w:rPr>
          <w:rFonts w:ascii="Garamond" w:hAnsi="Garamond"/>
        </w:rPr>
      </w:pPr>
      <w:r w:rsidRPr="006A79B9">
        <w:rPr>
          <w:rFonts w:ascii="Garamond" w:hAnsi="Garamond"/>
        </w:rPr>
        <w:t xml:space="preserve">Did the number of </w:t>
      </w:r>
      <w:r w:rsidR="00E12F6A" w:rsidRPr="006A79B9">
        <w:rPr>
          <w:rFonts w:ascii="Garamond" w:hAnsi="Garamond"/>
        </w:rPr>
        <w:t xml:space="preserve">National Instant Criminal Background Check System (NICS) </w:t>
      </w:r>
      <w:r w:rsidRPr="006A79B9">
        <w:rPr>
          <w:rFonts w:ascii="Garamond" w:hAnsi="Garamond"/>
        </w:rPr>
        <w:t xml:space="preserve">firearm background checks per month significantly change following the enactment, for firearms sold by FFLs </w:t>
      </w:r>
      <w:proofErr w:type="gramStart"/>
      <w:r w:rsidRPr="006A79B9">
        <w:rPr>
          <w:rFonts w:ascii="Garamond" w:hAnsi="Garamond"/>
        </w:rPr>
        <w:t>and also</w:t>
      </w:r>
      <w:proofErr w:type="gramEnd"/>
      <w:r w:rsidRPr="006A79B9">
        <w:rPr>
          <w:rFonts w:ascii="Garamond" w:hAnsi="Garamond"/>
        </w:rPr>
        <w:t xml:space="preserve"> for private sales transacted through FFLs?</w:t>
      </w:r>
    </w:p>
    <w:p w14:paraId="388902E0" w14:textId="2786C5A3" w:rsidR="0057567E" w:rsidRPr="006A79B9" w:rsidRDefault="0057567E" w:rsidP="0020578C">
      <w:pPr>
        <w:widowControl w:val="0"/>
        <w:spacing w:line="480" w:lineRule="auto"/>
        <w:jc w:val="both"/>
        <w:rPr>
          <w:rFonts w:ascii="Garamond" w:hAnsi="Garamond"/>
        </w:rPr>
      </w:pPr>
    </w:p>
    <w:p w14:paraId="03A8C073" w14:textId="6C605C0D" w:rsidR="00A47820" w:rsidRPr="006A79B9" w:rsidRDefault="00B92E63" w:rsidP="00F05141">
      <w:pPr>
        <w:widowControl w:val="0"/>
        <w:spacing w:line="480" w:lineRule="auto"/>
        <w:ind w:firstLine="720"/>
        <w:jc w:val="both"/>
        <w:rPr>
          <w:rFonts w:ascii="Garamond" w:hAnsi="Garamond"/>
        </w:rPr>
      </w:pPr>
      <w:r>
        <w:rPr>
          <w:rFonts w:ascii="Garamond" w:hAnsi="Garamond"/>
        </w:rPr>
        <w:t xml:space="preserve">It could be the case that the loophole rule change was largely symbolic, in that few to no </w:t>
      </w:r>
      <w:r>
        <w:rPr>
          <w:rFonts w:ascii="Garamond" w:hAnsi="Garamond"/>
        </w:rPr>
        <w:lastRenderedPageBreak/>
        <w:t>individuals previously considered private sellers would now fall within the definition of “engaged in the business” of dealing firearms to “</w:t>
      </w:r>
      <w:r w:rsidRPr="006A79B9">
        <w:rPr>
          <w:rFonts w:ascii="Garamond" w:hAnsi="Garamond"/>
        </w:rPr>
        <w:t>predominantly earn a profit</w:t>
      </w:r>
      <w:r>
        <w:rPr>
          <w:rFonts w:ascii="Garamond" w:hAnsi="Garamond"/>
        </w:rPr>
        <w:t>.” If, however, it is the case that some number of individuals now do meet the revised definition of “engaged in the business,” we anticipate three possible outcomes. T</w:t>
      </w:r>
      <w:r w:rsidR="009F627D" w:rsidRPr="006A79B9">
        <w:rPr>
          <w:rFonts w:ascii="Garamond" w:hAnsi="Garamond"/>
        </w:rPr>
        <w:t xml:space="preserve">hese individuals could </w:t>
      </w:r>
      <w:r w:rsidR="00AE50C0" w:rsidRPr="006A79B9">
        <w:rPr>
          <w:rFonts w:ascii="Garamond" w:hAnsi="Garamond"/>
        </w:rPr>
        <w:t xml:space="preserve">(1) </w:t>
      </w:r>
      <w:r w:rsidR="00491713" w:rsidRPr="006A79B9">
        <w:rPr>
          <w:rFonts w:ascii="Garamond" w:hAnsi="Garamond"/>
        </w:rPr>
        <w:t>knowingly or perhaps unknow</w:t>
      </w:r>
      <w:r w:rsidR="00475A19">
        <w:rPr>
          <w:rFonts w:ascii="Garamond" w:hAnsi="Garamond"/>
        </w:rPr>
        <w:t>ingly</w:t>
      </w:r>
      <w:r w:rsidR="00491713" w:rsidRPr="006A79B9">
        <w:rPr>
          <w:rFonts w:ascii="Garamond" w:hAnsi="Garamond"/>
        </w:rPr>
        <w:t xml:space="preserve"> </w:t>
      </w:r>
      <w:r w:rsidR="009F627D" w:rsidRPr="006A79B9">
        <w:rPr>
          <w:rFonts w:ascii="Garamond" w:hAnsi="Garamond"/>
        </w:rPr>
        <w:t xml:space="preserve">flout the rule change and continue selling firearms without a license, (2) stop selling firearms, or (3) obtain a Federal Firearm License </w:t>
      </w:r>
      <w:proofErr w:type="gramStart"/>
      <w:r w:rsidR="009F627D" w:rsidRPr="006A79B9">
        <w:rPr>
          <w:rFonts w:ascii="Garamond" w:hAnsi="Garamond"/>
        </w:rPr>
        <w:t>in order to</w:t>
      </w:r>
      <w:proofErr w:type="gramEnd"/>
      <w:r w:rsidR="009F627D" w:rsidRPr="006A79B9">
        <w:rPr>
          <w:rFonts w:ascii="Garamond" w:hAnsi="Garamond"/>
        </w:rPr>
        <w:t xml:space="preserve"> continue selling.</w:t>
      </w:r>
      <w:r w:rsidR="00A47820" w:rsidRPr="006A79B9">
        <w:rPr>
          <w:rFonts w:ascii="Garamond" w:hAnsi="Garamond"/>
        </w:rPr>
        <w:t xml:space="preserve"> </w:t>
      </w:r>
    </w:p>
    <w:p w14:paraId="1113D617" w14:textId="2AA33201" w:rsidR="009F627D" w:rsidRPr="006A79B9" w:rsidRDefault="009F627D" w:rsidP="00F05141">
      <w:pPr>
        <w:widowControl w:val="0"/>
        <w:spacing w:line="480" w:lineRule="auto"/>
        <w:ind w:firstLine="720"/>
        <w:jc w:val="both"/>
        <w:rPr>
          <w:rFonts w:ascii="Garamond" w:hAnsi="Garamond"/>
        </w:rPr>
      </w:pPr>
      <w:r w:rsidRPr="006A79B9">
        <w:rPr>
          <w:rFonts w:ascii="Garamond" w:hAnsi="Garamond"/>
        </w:rPr>
        <w:t>As for NICS background checks, if the demand and supply of firearms remain stable but there are fewer private dealers, then we would expect the volume of background checks</w:t>
      </w:r>
      <w:r w:rsidR="00A47820" w:rsidRPr="006A79B9">
        <w:rPr>
          <w:rFonts w:ascii="Garamond" w:hAnsi="Garamond"/>
        </w:rPr>
        <w:t xml:space="preserve"> to increase</w:t>
      </w:r>
      <w:r w:rsidRPr="006A79B9">
        <w:rPr>
          <w:rFonts w:ascii="Garamond" w:hAnsi="Garamond"/>
        </w:rPr>
        <w:t xml:space="preserve"> </w:t>
      </w:r>
      <w:r w:rsidR="00A47820" w:rsidRPr="006A79B9">
        <w:rPr>
          <w:rFonts w:ascii="Garamond" w:hAnsi="Garamond"/>
        </w:rPr>
        <w:t>as buyers turn to federally licensed dealers for purchasing. Under the Brady Act, federally licensed dealers are required to conduct background checks</w:t>
      </w:r>
      <w:r w:rsidRPr="006A79B9">
        <w:rPr>
          <w:rFonts w:ascii="Garamond" w:hAnsi="Garamond"/>
        </w:rPr>
        <w:t>.</w:t>
      </w:r>
      <w:r w:rsidRPr="006A79B9">
        <w:rPr>
          <w:rStyle w:val="FootnoteReference"/>
          <w:rFonts w:ascii="Garamond" w:hAnsi="Garamond"/>
        </w:rPr>
        <w:footnoteReference w:id="4"/>
      </w:r>
      <w:r w:rsidRPr="006A79B9">
        <w:rPr>
          <w:rFonts w:ascii="Garamond" w:hAnsi="Garamond"/>
        </w:rPr>
        <w:t xml:space="preserve"> </w:t>
      </w:r>
    </w:p>
    <w:p w14:paraId="7C2398F4" w14:textId="5C247195" w:rsidR="00A47820" w:rsidRPr="006A79B9" w:rsidRDefault="002433F2" w:rsidP="00F05141">
      <w:pPr>
        <w:widowControl w:val="0"/>
        <w:spacing w:line="480" w:lineRule="auto"/>
        <w:ind w:firstLine="360"/>
        <w:jc w:val="both"/>
        <w:rPr>
          <w:rFonts w:ascii="Garamond" w:hAnsi="Garamond"/>
        </w:rPr>
      </w:pPr>
      <w:r>
        <w:rPr>
          <w:rFonts w:ascii="Garamond" w:hAnsi="Garamond"/>
        </w:rPr>
        <w:tab/>
      </w:r>
      <w:r w:rsidR="00A47820" w:rsidRPr="006A79B9">
        <w:rPr>
          <w:rFonts w:ascii="Garamond" w:hAnsi="Garamond"/>
        </w:rPr>
        <w:t xml:space="preserve">Per this rationale, we hypothesize the following: </w:t>
      </w:r>
    </w:p>
    <w:p w14:paraId="04EC1674" w14:textId="27F2C43D" w:rsidR="00705D13" w:rsidRPr="006A79B9" w:rsidRDefault="00705D13" w:rsidP="0020578C">
      <w:pPr>
        <w:pStyle w:val="ListParagraph"/>
        <w:widowControl w:val="0"/>
        <w:numPr>
          <w:ilvl w:val="0"/>
          <w:numId w:val="4"/>
        </w:numPr>
        <w:spacing w:line="480" w:lineRule="auto"/>
        <w:jc w:val="both"/>
        <w:rPr>
          <w:rFonts w:ascii="Garamond" w:hAnsi="Garamond"/>
        </w:rPr>
      </w:pPr>
      <w:bookmarkStart w:id="0" w:name="_4mzf79vx2q6j" w:colFirst="0" w:colLast="0"/>
      <w:bookmarkEnd w:id="0"/>
      <w:r w:rsidRPr="006A79B9">
        <w:rPr>
          <w:rFonts w:ascii="Garamond" w:hAnsi="Garamond"/>
        </w:rPr>
        <w:t xml:space="preserve">The loophole rule change led to an increase in the number of </w:t>
      </w:r>
      <w:r w:rsidR="00475A19">
        <w:rPr>
          <w:rFonts w:ascii="Garamond" w:hAnsi="Garamond"/>
        </w:rPr>
        <w:t xml:space="preserve">new </w:t>
      </w:r>
      <w:r w:rsidRPr="006A79B9">
        <w:rPr>
          <w:rFonts w:ascii="Garamond" w:hAnsi="Garamond"/>
        </w:rPr>
        <w:t>Type 1 Federal Firearms Licensees (i.e., dealer in firearms other than destructive devices).</w:t>
      </w:r>
    </w:p>
    <w:p w14:paraId="70261616" w14:textId="7EA1EEA9" w:rsidR="00705D13" w:rsidRPr="006A79B9" w:rsidRDefault="00705D13" w:rsidP="0020578C">
      <w:pPr>
        <w:pStyle w:val="ListParagraph"/>
        <w:widowControl w:val="0"/>
        <w:numPr>
          <w:ilvl w:val="0"/>
          <w:numId w:val="4"/>
        </w:numPr>
        <w:spacing w:line="480" w:lineRule="auto"/>
        <w:jc w:val="both"/>
        <w:rPr>
          <w:rFonts w:ascii="Garamond" w:hAnsi="Garamond"/>
        </w:rPr>
      </w:pPr>
      <w:r w:rsidRPr="006A79B9">
        <w:rPr>
          <w:rFonts w:ascii="Garamond" w:hAnsi="Garamond"/>
        </w:rPr>
        <w:t>The loophole rule change led to an increase in the average number of monthly background checks</w:t>
      </w:r>
      <w:r w:rsidR="00443BE9">
        <w:rPr>
          <w:rFonts w:ascii="Garamond" w:hAnsi="Garamond"/>
        </w:rPr>
        <w:t xml:space="preserve"> for firearm purchases</w:t>
      </w:r>
      <w:r w:rsidRPr="006A79B9">
        <w:rPr>
          <w:rFonts w:ascii="Garamond" w:hAnsi="Garamond"/>
        </w:rPr>
        <w:t>.</w:t>
      </w:r>
    </w:p>
    <w:p w14:paraId="3240771D" w14:textId="77777777" w:rsidR="00C26D41" w:rsidRDefault="00C26D41" w:rsidP="0020578C">
      <w:pPr>
        <w:widowControl w:val="0"/>
        <w:spacing w:line="480" w:lineRule="auto"/>
        <w:ind w:firstLine="720"/>
        <w:jc w:val="both"/>
        <w:rPr>
          <w:rFonts w:ascii="Garamond" w:hAnsi="Garamond"/>
        </w:rPr>
      </w:pPr>
    </w:p>
    <w:p w14:paraId="251DF8B4" w14:textId="2D29A8E0" w:rsidR="00705D13" w:rsidRPr="006A79B9" w:rsidRDefault="00ED7AA8" w:rsidP="0020578C">
      <w:pPr>
        <w:widowControl w:val="0"/>
        <w:spacing w:line="480" w:lineRule="auto"/>
        <w:ind w:firstLine="720"/>
        <w:jc w:val="both"/>
        <w:rPr>
          <w:rFonts w:ascii="Garamond" w:hAnsi="Garamond"/>
        </w:rPr>
      </w:pPr>
      <w:r w:rsidRPr="006A79B9">
        <w:rPr>
          <w:rFonts w:ascii="Garamond" w:hAnsi="Garamond"/>
        </w:rPr>
        <w:t xml:space="preserve">Given that an application for a Federal Firearm License to sell firearms takes a minimum of two months for ATF to review and approve, we would expect that any changes in </w:t>
      </w:r>
      <w:r w:rsidR="009F627D" w:rsidRPr="006A79B9">
        <w:rPr>
          <w:rFonts w:ascii="Garamond" w:hAnsi="Garamond"/>
        </w:rPr>
        <w:t>FFLs would not appear until</w:t>
      </w:r>
      <w:r w:rsidR="001131DC">
        <w:rPr>
          <w:rFonts w:ascii="Garamond" w:hAnsi="Garamond"/>
        </w:rPr>
        <w:t xml:space="preserve"> July or</w:t>
      </w:r>
      <w:r w:rsidR="009F627D" w:rsidRPr="006A79B9">
        <w:rPr>
          <w:rFonts w:ascii="Garamond" w:hAnsi="Garamond"/>
        </w:rPr>
        <w:t xml:space="preserve"> </w:t>
      </w:r>
      <w:r w:rsidR="007132BB" w:rsidRPr="006A79B9">
        <w:rPr>
          <w:rFonts w:ascii="Garamond" w:hAnsi="Garamond"/>
        </w:rPr>
        <w:t xml:space="preserve">August </w:t>
      </w:r>
      <w:r w:rsidR="00B731A7" w:rsidRPr="006A79B9">
        <w:rPr>
          <w:rFonts w:ascii="Garamond" w:hAnsi="Garamond"/>
        </w:rPr>
        <w:t>2024.</w:t>
      </w:r>
      <w:r w:rsidR="00A47820" w:rsidRPr="006A79B9">
        <w:rPr>
          <w:rStyle w:val="FootnoteReference"/>
          <w:rFonts w:ascii="Garamond" w:hAnsi="Garamond"/>
        </w:rPr>
        <w:footnoteReference w:id="5"/>
      </w:r>
      <w:r w:rsidR="009F627D" w:rsidRPr="006A79B9">
        <w:rPr>
          <w:rFonts w:ascii="Garamond" w:hAnsi="Garamond"/>
        </w:rPr>
        <w:t xml:space="preserve"> For background checks, any increase may be more immediate, if some private sellers leave the market and buyers turn to federally licensed dealers to purchase firearms. </w:t>
      </w:r>
      <w:r w:rsidR="00B731A7" w:rsidRPr="006A79B9">
        <w:rPr>
          <w:rFonts w:ascii="Garamond" w:hAnsi="Garamond"/>
        </w:rPr>
        <w:t xml:space="preserve"> </w:t>
      </w:r>
    </w:p>
    <w:p w14:paraId="2BE43F30" w14:textId="77777777" w:rsidR="0057567E" w:rsidRPr="006A79B9" w:rsidRDefault="0057567E" w:rsidP="0020578C">
      <w:pPr>
        <w:widowControl w:val="0"/>
        <w:spacing w:line="480" w:lineRule="auto"/>
        <w:jc w:val="both"/>
        <w:rPr>
          <w:rFonts w:ascii="Garamond" w:hAnsi="Garamond"/>
          <w:b/>
          <w:smallCaps/>
        </w:rPr>
      </w:pPr>
      <w:r w:rsidRPr="006A79B9">
        <w:rPr>
          <w:rFonts w:ascii="Garamond" w:hAnsi="Garamond"/>
          <w:b/>
          <w:smallCaps/>
        </w:rPr>
        <w:lastRenderedPageBreak/>
        <w:t>Study Design</w:t>
      </w:r>
    </w:p>
    <w:p w14:paraId="79A4AD3E" w14:textId="391256E7" w:rsidR="003B4DE5" w:rsidRPr="006A79B9" w:rsidRDefault="003B4DE5" w:rsidP="0020578C">
      <w:pPr>
        <w:widowControl w:val="0"/>
        <w:spacing w:line="480" w:lineRule="auto"/>
        <w:jc w:val="both"/>
        <w:rPr>
          <w:rFonts w:ascii="Garamond" w:hAnsi="Garamond"/>
        </w:rPr>
      </w:pPr>
      <w:r w:rsidRPr="006A79B9">
        <w:rPr>
          <w:rFonts w:ascii="Garamond" w:hAnsi="Garamond"/>
        </w:rPr>
        <w:t>To answer our research questions about the effects of the policy</w:t>
      </w:r>
      <w:r w:rsidR="00796FD4">
        <w:rPr>
          <w:rFonts w:ascii="Garamond" w:hAnsi="Garamond"/>
        </w:rPr>
        <w:t xml:space="preserve"> and regulatory</w:t>
      </w:r>
      <w:r w:rsidRPr="006A79B9">
        <w:rPr>
          <w:rFonts w:ascii="Garamond" w:hAnsi="Garamond"/>
        </w:rPr>
        <w:t xml:space="preserve"> change, we draw upon the following data sources of state by month information: (1) listings of all </w:t>
      </w:r>
      <w:r w:rsidRPr="006A79B9">
        <w:rPr>
          <w:rFonts w:ascii="Garamond" w:hAnsi="Garamond"/>
          <w:i/>
          <w:iCs/>
        </w:rPr>
        <w:t>Federal Firearms Licensees</w:t>
      </w:r>
      <w:r w:rsidRPr="006A79B9">
        <w:rPr>
          <w:rFonts w:ascii="Garamond" w:hAnsi="Garamond"/>
        </w:rPr>
        <w:t xml:space="preserve">, available on the ATF’s website and </w:t>
      </w:r>
      <w:hyperlink w:history="1"/>
      <w:r w:rsidRPr="006A79B9">
        <w:rPr>
          <w:rFonts w:ascii="Garamond" w:hAnsi="Garamond"/>
        </w:rPr>
        <w:t xml:space="preserve">(2) </w:t>
      </w:r>
      <w:r w:rsidRPr="006A79B9">
        <w:rPr>
          <w:rFonts w:ascii="Garamond" w:hAnsi="Garamond"/>
          <w:i/>
          <w:iCs/>
        </w:rPr>
        <w:t>National Instant Criminal Background Check System (NICS)</w:t>
      </w:r>
      <w:r w:rsidRPr="006A79B9">
        <w:rPr>
          <w:rFonts w:ascii="Garamond" w:hAnsi="Garamond"/>
        </w:rPr>
        <w:t xml:space="preserve"> data, available </w:t>
      </w:r>
      <w:r w:rsidR="009800ED" w:rsidRPr="006A79B9">
        <w:rPr>
          <w:rFonts w:ascii="Garamond" w:hAnsi="Garamond"/>
        </w:rPr>
        <w:t xml:space="preserve">on </w:t>
      </w:r>
      <w:r w:rsidRPr="006A79B9">
        <w:rPr>
          <w:rFonts w:ascii="Garamond" w:hAnsi="Garamond"/>
        </w:rPr>
        <w:t>the FBI</w:t>
      </w:r>
      <w:r w:rsidR="009800ED" w:rsidRPr="006A79B9">
        <w:rPr>
          <w:rFonts w:ascii="Garamond" w:hAnsi="Garamond"/>
        </w:rPr>
        <w:t>’s website.</w:t>
      </w:r>
      <w:r w:rsidR="002A484A">
        <w:rPr>
          <w:rStyle w:val="FootnoteReference"/>
          <w:rFonts w:ascii="Garamond" w:hAnsi="Garamond"/>
        </w:rPr>
        <w:footnoteReference w:id="6"/>
      </w:r>
      <w:r w:rsidR="009800ED" w:rsidRPr="006A79B9">
        <w:rPr>
          <w:rFonts w:ascii="Garamond" w:hAnsi="Garamond"/>
        </w:rPr>
        <w:t xml:space="preserve"> FFL data includes aggregate counts of active licenses per month as well as a full monthly list of active licensees. </w:t>
      </w:r>
      <w:r w:rsidR="00475A19">
        <w:rPr>
          <w:rFonts w:ascii="Garamond" w:hAnsi="Garamond"/>
        </w:rPr>
        <w:t>The number of new licensees</w:t>
      </w:r>
      <w:r w:rsidR="0043775F">
        <w:rPr>
          <w:rFonts w:ascii="Garamond" w:hAnsi="Garamond"/>
        </w:rPr>
        <w:t>, one of our outcome variables,</w:t>
      </w:r>
      <w:r w:rsidR="00475A19">
        <w:rPr>
          <w:rFonts w:ascii="Garamond" w:hAnsi="Garamond"/>
        </w:rPr>
        <w:t xml:space="preserve"> can be determined by comparing consecutive months of active listings. </w:t>
      </w:r>
      <w:r w:rsidR="009800ED" w:rsidRPr="006A79B9">
        <w:rPr>
          <w:rFonts w:ascii="Garamond" w:hAnsi="Garamond"/>
        </w:rPr>
        <w:t>NICS data lists the number of background checks</w:t>
      </w:r>
      <w:r w:rsidR="00B445A7" w:rsidRPr="006A79B9">
        <w:rPr>
          <w:rFonts w:ascii="Garamond" w:hAnsi="Garamond"/>
        </w:rPr>
        <w:t xml:space="preserve"> of various types, including for the purchase of handguns and long guns as well as background checks conducted when an individual is seeking to obtain some form of firearm permit or a permit renewal (Smucker et al. 2022). </w:t>
      </w:r>
      <w:r w:rsidR="0043775F">
        <w:rPr>
          <w:rFonts w:ascii="Garamond" w:hAnsi="Garamond"/>
        </w:rPr>
        <w:t xml:space="preserve">Our second outcome variable is the number of </w:t>
      </w:r>
      <w:r w:rsidR="009A4031" w:rsidRPr="006A79B9">
        <w:rPr>
          <w:rFonts w:ascii="Garamond" w:hAnsi="Garamond"/>
        </w:rPr>
        <w:t xml:space="preserve">background checks associated with the </w:t>
      </w:r>
      <w:r w:rsidR="009A4031" w:rsidRPr="006A79B9">
        <w:rPr>
          <w:rFonts w:ascii="Garamond" w:hAnsi="Garamond"/>
          <w:i/>
          <w:iCs/>
        </w:rPr>
        <w:t>purchase</w:t>
      </w:r>
      <w:r w:rsidR="009A4031" w:rsidRPr="006A79B9">
        <w:rPr>
          <w:rFonts w:ascii="Garamond" w:hAnsi="Garamond"/>
        </w:rPr>
        <w:t xml:space="preserve"> of firearms through federal licensed dealers (i.e., </w:t>
      </w:r>
      <w:r w:rsidR="0022081E" w:rsidRPr="006A79B9">
        <w:rPr>
          <w:rFonts w:ascii="Garamond" w:hAnsi="Garamond"/>
        </w:rPr>
        <w:t>we exclude</w:t>
      </w:r>
      <w:r w:rsidR="009A4031" w:rsidRPr="006A79B9">
        <w:rPr>
          <w:rFonts w:ascii="Garamond" w:hAnsi="Garamond"/>
        </w:rPr>
        <w:t xml:space="preserve"> background checks for permitting or other types of background checks).</w:t>
      </w:r>
      <w:r w:rsidR="009800ED" w:rsidRPr="006A79B9">
        <w:rPr>
          <w:rFonts w:ascii="Garamond" w:hAnsi="Garamond"/>
        </w:rPr>
        <w:t xml:space="preserve">   </w:t>
      </w:r>
      <w:r w:rsidRPr="006A79B9">
        <w:rPr>
          <w:rFonts w:ascii="Garamond" w:hAnsi="Garamond"/>
        </w:rPr>
        <w:t xml:space="preserve"> </w:t>
      </w:r>
    </w:p>
    <w:p w14:paraId="1BD1FDC5" w14:textId="5C582B49" w:rsidR="0088451B" w:rsidRPr="0088451B" w:rsidRDefault="00705D13" w:rsidP="0020578C">
      <w:pPr>
        <w:widowControl w:val="0"/>
        <w:spacing w:line="480" w:lineRule="auto"/>
        <w:ind w:firstLine="720"/>
        <w:jc w:val="both"/>
        <w:rPr>
          <w:rFonts w:ascii="Garamond" w:hAnsi="Garamond"/>
        </w:rPr>
      </w:pPr>
      <w:r w:rsidRPr="006A79B9">
        <w:rPr>
          <w:rFonts w:ascii="Garamond" w:hAnsi="Garamond"/>
        </w:rPr>
        <w:t xml:space="preserve">To answer our research questions about the effects of the gun show loophole rule change, we will use two </w:t>
      </w:r>
      <w:r w:rsidR="00C932E0" w:rsidRPr="006A79B9">
        <w:rPr>
          <w:rFonts w:ascii="Garamond" w:hAnsi="Garamond"/>
        </w:rPr>
        <w:t xml:space="preserve">related </w:t>
      </w:r>
      <w:r w:rsidRPr="006A79B9">
        <w:rPr>
          <w:rFonts w:ascii="Garamond" w:hAnsi="Garamond"/>
        </w:rPr>
        <w:t>analytic designs: a difference-in-differences (DiD) design</w:t>
      </w:r>
      <w:r w:rsidR="00475A19" w:rsidRPr="00475A19">
        <w:rPr>
          <w:rFonts w:ascii="Garamond" w:hAnsi="Garamond"/>
        </w:rPr>
        <w:t xml:space="preserve"> </w:t>
      </w:r>
      <w:r w:rsidR="00475A19">
        <w:rPr>
          <w:rFonts w:ascii="Garamond" w:hAnsi="Garamond"/>
        </w:rPr>
        <w:t xml:space="preserve">and </w:t>
      </w:r>
      <w:r w:rsidR="00475A19" w:rsidRPr="006A79B9">
        <w:rPr>
          <w:rFonts w:ascii="Garamond" w:hAnsi="Garamond"/>
        </w:rPr>
        <w:t>an event study</w:t>
      </w:r>
      <w:r w:rsidRPr="006A79B9">
        <w:rPr>
          <w:rFonts w:ascii="Garamond" w:hAnsi="Garamond"/>
        </w:rPr>
        <w:t xml:space="preserve">. </w:t>
      </w:r>
      <w:r w:rsidR="00C932E0" w:rsidRPr="006A79B9">
        <w:rPr>
          <w:rFonts w:ascii="Garamond" w:hAnsi="Garamond"/>
        </w:rPr>
        <w:t xml:space="preserve">We define the treatment group as those states, 25 in total, </w:t>
      </w:r>
      <w:r w:rsidR="00C932E0" w:rsidRPr="006A79B9">
        <w:rPr>
          <w:rFonts w:ascii="Garamond" w:hAnsi="Garamond"/>
          <w:i/>
          <w:iCs/>
        </w:rPr>
        <w:t>without</w:t>
      </w:r>
      <w:r w:rsidR="00C932E0" w:rsidRPr="006A79B9">
        <w:rPr>
          <w:rFonts w:ascii="Garamond" w:hAnsi="Garamond"/>
        </w:rPr>
        <w:t xml:space="preserve"> universal background check regulations as of May 20, 2024, and which had not received </w:t>
      </w:r>
      <w:r w:rsidR="00A34C48">
        <w:rPr>
          <w:rFonts w:ascii="Garamond" w:hAnsi="Garamond"/>
        </w:rPr>
        <w:t xml:space="preserve">preliminary </w:t>
      </w:r>
      <w:r w:rsidR="00C932E0" w:rsidRPr="006A79B9">
        <w:rPr>
          <w:rFonts w:ascii="Garamond" w:hAnsi="Garamond"/>
        </w:rPr>
        <w:t>injunctive relief from implementing the rule change</w:t>
      </w:r>
      <w:r w:rsidR="0088451B">
        <w:rPr>
          <w:rFonts w:ascii="Garamond" w:hAnsi="Garamond"/>
        </w:rPr>
        <w:t xml:space="preserve"> (see Figure 1)</w:t>
      </w:r>
      <w:r w:rsidR="00C932E0" w:rsidRPr="006A79B9">
        <w:rPr>
          <w:rFonts w:ascii="Garamond" w:hAnsi="Garamond"/>
        </w:rPr>
        <w:t>.</w:t>
      </w:r>
      <w:r w:rsidR="0088451B">
        <w:rPr>
          <w:rFonts w:ascii="Garamond" w:hAnsi="Garamond"/>
        </w:rPr>
        <w:t xml:space="preserve"> </w:t>
      </w:r>
      <w:r w:rsidR="0088451B" w:rsidRPr="0088451B">
        <w:rPr>
          <w:rFonts w:ascii="Garamond" w:hAnsi="Garamond"/>
        </w:rPr>
        <w:t>Of the remaining states and the District of Columbia, all but Minnesota (only handguns and semi-automatic weapons), Nebraska (only handguns), and Pennsylvania (only handguns) require</w:t>
      </w:r>
      <w:r w:rsidR="005374F8">
        <w:rPr>
          <w:rFonts w:ascii="Garamond" w:hAnsi="Garamond"/>
        </w:rPr>
        <w:t>d</w:t>
      </w:r>
      <w:r w:rsidR="0088451B" w:rsidRPr="0088451B">
        <w:rPr>
          <w:rFonts w:ascii="Garamond" w:hAnsi="Garamond"/>
        </w:rPr>
        <w:t xml:space="preserve"> background checks on the private sale of all firearms</w:t>
      </w:r>
      <w:r w:rsidR="005374F8">
        <w:rPr>
          <w:rFonts w:ascii="Garamond" w:hAnsi="Garamond"/>
        </w:rPr>
        <w:t xml:space="preserve"> on the date the loophole rule change was implemented</w:t>
      </w:r>
      <w:r w:rsidR="0088451B" w:rsidRPr="0088451B">
        <w:rPr>
          <w:rFonts w:ascii="Garamond" w:hAnsi="Garamond"/>
        </w:rPr>
        <w:t xml:space="preserve"> (Everytown for Gun Safety 2024). The 21 states and DC with preexisting background check laws on private gun sales constitute our control group.</w:t>
      </w:r>
    </w:p>
    <w:p w14:paraId="24B755DF" w14:textId="13BD187A" w:rsidR="00C932E0" w:rsidRPr="006A79B9" w:rsidRDefault="00C932E0" w:rsidP="0020578C">
      <w:pPr>
        <w:widowControl w:val="0"/>
        <w:spacing w:line="480" w:lineRule="auto"/>
        <w:jc w:val="both"/>
        <w:rPr>
          <w:rFonts w:ascii="Garamond" w:hAnsi="Garamond"/>
        </w:rPr>
      </w:pPr>
    </w:p>
    <w:p w14:paraId="2AD49D3A" w14:textId="2B0C1998" w:rsidR="003B4DE5" w:rsidRPr="006A79B9" w:rsidRDefault="0088451B" w:rsidP="0020578C">
      <w:pPr>
        <w:keepNext/>
        <w:spacing w:line="480" w:lineRule="auto"/>
        <w:jc w:val="both"/>
        <w:rPr>
          <w:rFonts w:ascii="Garamond" w:hAnsi="Garamond"/>
        </w:rPr>
      </w:pPr>
      <w:r w:rsidRPr="006A79B9">
        <w:rPr>
          <w:rFonts w:ascii="Garamond" w:hAnsi="Garamond" w:cstheme="minorHAnsi"/>
          <w:b/>
          <w:bCs/>
        </w:rPr>
        <w:lastRenderedPageBreak/>
        <w:t>Figure 1.</w:t>
      </w:r>
      <w:r w:rsidRPr="0088451B">
        <w:rPr>
          <w:rFonts w:ascii="Garamond" w:hAnsi="Garamond" w:cstheme="minorHAnsi"/>
          <w:b/>
          <w:bCs/>
        </w:rPr>
        <w:t xml:space="preserve"> </w:t>
      </w:r>
      <w:r w:rsidR="00321935">
        <w:rPr>
          <w:rFonts w:ascii="Garamond" w:hAnsi="Garamond" w:cstheme="minorHAnsi"/>
          <w:b/>
          <w:bCs/>
        </w:rPr>
        <w:t xml:space="preserve">US </w:t>
      </w:r>
      <w:r w:rsidRPr="0088451B">
        <w:rPr>
          <w:rFonts w:ascii="Garamond" w:hAnsi="Garamond" w:cstheme="minorHAnsi"/>
          <w:b/>
          <w:bCs/>
        </w:rPr>
        <w:t>States and DC by Treatment Status</w:t>
      </w:r>
    </w:p>
    <w:p w14:paraId="0BD96EC8" w14:textId="77777777" w:rsidR="003B4DE5" w:rsidRPr="006A79B9" w:rsidRDefault="003B4DE5" w:rsidP="0020578C">
      <w:pPr>
        <w:widowControl w:val="0"/>
        <w:spacing w:line="480" w:lineRule="auto"/>
        <w:rPr>
          <w:rFonts w:ascii="Garamond" w:hAnsi="Garamond"/>
        </w:rPr>
      </w:pPr>
      <w:r w:rsidRPr="006A79B9">
        <w:rPr>
          <w:rFonts w:ascii="Garamond" w:hAnsi="Garamond"/>
          <w:noProof/>
          <w14:ligatures w14:val="standardContextual"/>
        </w:rPr>
        <w:drawing>
          <wp:inline distT="0" distB="0" distL="0" distR="0" wp14:anchorId="375229A4" wp14:editId="331BBCFA">
            <wp:extent cx="4789716" cy="2794000"/>
            <wp:effectExtent l="19050" t="19050" r="11430" b="25400"/>
            <wp:docPr id="802714626" name="Picture 7"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94408" name="Picture 7" descr="A map of the united states&#10;&#10;Description automatically generated"/>
                    <pic:cNvPicPr/>
                  </pic:nvPicPr>
                  <pic:blipFill rotWithShape="1">
                    <a:blip r:embed="rId9" cstate="print">
                      <a:extLst>
                        <a:ext uri="{28A0092B-C50C-407E-A947-70E740481C1C}">
                          <a14:useLocalDpi xmlns:a14="http://schemas.microsoft.com/office/drawing/2010/main" val="0"/>
                        </a:ext>
                      </a:extLst>
                    </a:blip>
                    <a:srcRect l="22330" t="25025" r="17735" b="29765"/>
                    <a:stretch/>
                  </pic:blipFill>
                  <pic:spPr bwMode="auto">
                    <a:xfrm>
                      <a:off x="0" y="0"/>
                      <a:ext cx="4818441" cy="2810756"/>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2F7BB16B" w14:textId="12E16EA2" w:rsidR="003B4DE5" w:rsidRPr="006A79B9" w:rsidRDefault="002433F2" w:rsidP="0020578C">
      <w:pPr>
        <w:widowControl w:val="0"/>
        <w:tabs>
          <w:tab w:val="left" w:pos="350"/>
        </w:tabs>
        <w:spacing w:line="480" w:lineRule="auto"/>
        <w:rPr>
          <w:rFonts w:ascii="Garamond" w:hAnsi="Garamond"/>
        </w:rPr>
      </w:pPr>
      <w:r>
        <w:rPr>
          <w:rFonts w:ascii="Garamond" w:hAnsi="Garamond"/>
        </w:rPr>
        <w:tab/>
      </w:r>
    </w:p>
    <w:p w14:paraId="0C913D07" w14:textId="2B50D5CF" w:rsidR="00C932E0" w:rsidRPr="006A79B9" w:rsidRDefault="002433F2" w:rsidP="0020578C">
      <w:pPr>
        <w:widowControl w:val="0"/>
        <w:spacing w:line="480" w:lineRule="auto"/>
        <w:jc w:val="both"/>
        <w:rPr>
          <w:rFonts w:ascii="Garamond" w:hAnsi="Garamond"/>
        </w:rPr>
      </w:pPr>
      <w:r>
        <w:tab/>
      </w:r>
      <w:r w:rsidR="00C932E0" w:rsidRPr="006A79B9">
        <w:rPr>
          <w:rFonts w:ascii="Garamond" w:hAnsi="Garamond"/>
        </w:rPr>
        <w:t xml:space="preserve">Conceptually, we seek to compare the average path of outcomes for treated states to the average path of outcomes for those states if they had not been subject to the rule change. To do so, in both designs we will compare the treated states to control states with preexisting laws mandating universal background checks. Essentially, we assume that the control states </w:t>
      </w:r>
      <w:r w:rsidR="007D3081">
        <w:rPr>
          <w:rFonts w:ascii="Garamond" w:hAnsi="Garamond"/>
        </w:rPr>
        <w:t xml:space="preserve">with existing background check laws </w:t>
      </w:r>
      <w:r w:rsidR="00C932E0" w:rsidRPr="006A79B9">
        <w:rPr>
          <w:rFonts w:ascii="Garamond" w:hAnsi="Garamond"/>
        </w:rPr>
        <w:t xml:space="preserve">will be minimally affected by the federal rule change and can be used to reveal the path of outcomes in the absence of treatment. Accordingly, a key identifying assumption of our design (i.e., the parallel trends assumption) is that in the absence of the loophole rule change, average untreated potential outcomes for our treated states and for our control group would have followed parallel paths in the post-treatment periods (i.e., the months following the rule change). </w:t>
      </w:r>
    </w:p>
    <w:p w14:paraId="6FF5C6F0" w14:textId="15F3C33D" w:rsidR="00BE6902" w:rsidRPr="006A79B9" w:rsidRDefault="00705D13" w:rsidP="0020578C">
      <w:pPr>
        <w:widowControl w:val="0"/>
        <w:spacing w:line="480" w:lineRule="auto"/>
        <w:ind w:firstLine="720"/>
        <w:jc w:val="both"/>
        <w:rPr>
          <w:rFonts w:ascii="Garamond" w:hAnsi="Garamond"/>
        </w:rPr>
      </w:pPr>
      <w:r w:rsidRPr="006A79B9">
        <w:rPr>
          <w:rFonts w:ascii="Garamond" w:hAnsi="Garamond"/>
        </w:rPr>
        <w:t xml:space="preserve">An event study allows us to examine the dynamic effect of the loophole rule change (i.e., separate coefficients for each </w:t>
      </w:r>
      <w:r w:rsidR="00C932E0" w:rsidRPr="006A79B9">
        <w:rPr>
          <w:rFonts w:ascii="Garamond" w:hAnsi="Garamond"/>
        </w:rPr>
        <w:t>lead month before the rule change</w:t>
      </w:r>
      <w:r w:rsidR="003B4DE5" w:rsidRPr="006A79B9">
        <w:rPr>
          <w:rFonts w:ascii="Garamond" w:hAnsi="Garamond"/>
        </w:rPr>
        <w:t xml:space="preserve"> took effect</w:t>
      </w:r>
      <w:r w:rsidR="00C932E0" w:rsidRPr="006A79B9">
        <w:rPr>
          <w:rFonts w:ascii="Garamond" w:hAnsi="Garamond"/>
        </w:rPr>
        <w:t xml:space="preserve"> and for the lag months post rule change) </w:t>
      </w:r>
      <w:r w:rsidRPr="006A79B9">
        <w:rPr>
          <w:rFonts w:ascii="Garamond" w:hAnsi="Garamond"/>
        </w:rPr>
        <w:t xml:space="preserve">whereas the canonical DiD design estimates </w:t>
      </w:r>
      <w:r w:rsidR="00C932E0" w:rsidRPr="006A79B9">
        <w:rPr>
          <w:rFonts w:ascii="Garamond" w:hAnsi="Garamond"/>
        </w:rPr>
        <w:t xml:space="preserve">a single coefficient representing </w:t>
      </w:r>
      <w:r w:rsidRPr="006A79B9">
        <w:rPr>
          <w:rFonts w:ascii="Garamond" w:hAnsi="Garamond"/>
        </w:rPr>
        <w:t>the average treatment effect</w:t>
      </w:r>
      <w:r w:rsidR="003B4DE5" w:rsidRPr="006A79B9">
        <w:rPr>
          <w:rFonts w:ascii="Garamond" w:hAnsi="Garamond"/>
        </w:rPr>
        <w:t xml:space="preserve"> on the treated states</w:t>
      </w:r>
      <w:r w:rsidRPr="006A79B9">
        <w:rPr>
          <w:rFonts w:ascii="Garamond" w:hAnsi="Garamond"/>
        </w:rPr>
        <w:t>.</w:t>
      </w:r>
      <w:r w:rsidR="007D3081">
        <w:rPr>
          <w:rFonts w:ascii="Garamond" w:hAnsi="Garamond"/>
        </w:rPr>
        <w:t xml:space="preserve"> T</w:t>
      </w:r>
      <w:r w:rsidR="00BE6902" w:rsidRPr="006A79B9">
        <w:rPr>
          <w:rFonts w:ascii="Garamond" w:hAnsi="Garamond"/>
        </w:rPr>
        <w:t xml:space="preserve">he canonical DiD framework has an intuitive appeal </w:t>
      </w:r>
      <w:r w:rsidR="00BE6902" w:rsidRPr="006A79B9">
        <w:rPr>
          <w:rFonts w:ascii="Garamond" w:hAnsi="Garamond"/>
        </w:rPr>
        <w:lastRenderedPageBreak/>
        <w:t xml:space="preserve">by estimating the </w:t>
      </w:r>
      <w:r w:rsidR="003B4DE5" w:rsidRPr="006A79B9">
        <w:rPr>
          <w:rFonts w:ascii="Garamond" w:hAnsi="Garamond"/>
        </w:rPr>
        <w:t xml:space="preserve">average </w:t>
      </w:r>
      <w:r w:rsidR="00BE6902" w:rsidRPr="006A79B9">
        <w:rPr>
          <w:rFonts w:ascii="Garamond" w:hAnsi="Garamond"/>
        </w:rPr>
        <w:t xml:space="preserve">effect across the 12 month </w:t>
      </w:r>
      <w:r w:rsidR="0071664A" w:rsidRPr="006A79B9">
        <w:rPr>
          <w:rFonts w:ascii="Garamond" w:hAnsi="Garamond"/>
        </w:rPr>
        <w:t>period after the rule change</w:t>
      </w:r>
      <w:r w:rsidR="007702CE" w:rsidRPr="006A79B9">
        <w:rPr>
          <w:rFonts w:ascii="Garamond" w:hAnsi="Garamond"/>
        </w:rPr>
        <w:t xml:space="preserve"> took effect</w:t>
      </w:r>
      <w:r w:rsidR="0071664A" w:rsidRPr="006A79B9">
        <w:rPr>
          <w:rFonts w:ascii="Garamond" w:hAnsi="Garamond"/>
        </w:rPr>
        <w:t>.</w:t>
      </w:r>
      <w:r w:rsidR="00BE6902" w:rsidRPr="006A79B9">
        <w:rPr>
          <w:rFonts w:ascii="Garamond" w:hAnsi="Garamond"/>
        </w:rPr>
        <w:t xml:space="preserve"> </w:t>
      </w:r>
    </w:p>
    <w:p w14:paraId="21E7347B" w14:textId="08F4AA20" w:rsidR="00C932E0" w:rsidRPr="006A79B9" w:rsidRDefault="00C932E0" w:rsidP="0020578C">
      <w:pPr>
        <w:widowControl w:val="0"/>
        <w:spacing w:line="480" w:lineRule="auto"/>
        <w:ind w:firstLine="720"/>
        <w:jc w:val="both"/>
        <w:rPr>
          <w:rFonts w:ascii="Garamond" w:hAnsi="Garamond"/>
        </w:rPr>
      </w:pPr>
      <w:r w:rsidRPr="006A79B9">
        <w:rPr>
          <w:rFonts w:ascii="Garamond" w:hAnsi="Garamond"/>
        </w:rPr>
        <w:t xml:space="preserve">One advantage of the event study design is the ability to assess the parallel trends assumption core to both designs. If the lead (i.e., pre- rule change) coefficients are close to zero and not statistically significant, it lends credibility to the assumption that treated and control groups were trending similarly before the rule change. </w:t>
      </w:r>
      <w:r w:rsidR="007D3081">
        <w:rPr>
          <w:rFonts w:ascii="Garamond" w:hAnsi="Garamond"/>
        </w:rPr>
        <w:t>In the absence of parallel trends in the pre-treatment period, it may be uncertain whether any differences between treated and control states post-treatment are due to the treatment (i.e., rule change) or due to some confounding influence.</w:t>
      </w:r>
    </w:p>
    <w:p w14:paraId="19DF5E95" w14:textId="7A8E3671" w:rsidR="00C932E0" w:rsidRPr="006A79B9" w:rsidRDefault="00C932E0" w:rsidP="0020578C">
      <w:pPr>
        <w:widowControl w:val="0"/>
        <w:spacing w:line="480" w:lineRule="auto"/>
        <w:ind w:firstLine="720"/>
        <w:jc w:val="both"/>
        <w:rPr>
          <w:rFonts w:ascii="Garamond" w:hAnsi="Garamond"/>
        </w:rPr>
      </w:pPr>
      <w:r w:rsidRPr="006A79B9">
        <w:rPr>
          <w:rFonts w:ascii="Garamond" w:hAnsi="Garamond"/>
        </w:rPr>
        <w:t xml:space="preserve">Additional advantages of the event study design relate to examining the timing of any effect. For instance, event studies are useful for detecting if an outcome variable changed before the event officially occurred, suggesting </w:t>
      </w:r>
      <w:r w:rsidR="0071664A" w:rsidRPr="006A79B9">
        <w:rPr>
          <w:rFonts w:ascii="Garamond" w:hAnsi="Garamond"/>
        </w:rPr>
        <w:t xml:space="preserve">an </w:t>
      </w:r>
      <w:r w:rsidRPr="006A79B9">
        <w:rPr>
          <w:rFonts w:ascii="Garamond" w:hAnsi="Garamond"/>
        </w:rPr>
        <w:t>anticipat</w:t>
      </w:r>
      <w:r w:rsidR="0071664A" w:rsidRPr="006A79B9">
        <w:rPr>
          <w:rFonts w:ascii="Garamond" w:hAnsi="Garamond"/>
        </w:rPr>
        <w:t>ory effect</w:t>
      </w:r>
      <w:r w:rsidRPr="006A79B9">
        <w:rPr>
          <w:rFonts w:ascii="Garamond" w:hAnsi="Garamond"/>
        </w:rPr>
        <w:t xml:space="preserve">. This may be particularly important in this study because the rule change was announced roughly </w:t>
      </w:r>
      <w:r w:rsidR="00321935">
        <w:rPr>
          <w:rFonts w:ascii="Garamond" w:hAnsi="Garamond"/>
        </w:rPr>
        <w:t>six</w:t>
      </w:r>
      <w:r w:rsidRPr="006A79B9">
        <w:rPr>
          <w:rFonts w:ascii="Garamond" w:hAnsi="Garamond"/>
        </w:rPr>
        <w:t xml:space="preserve"> weeks before it </w:t>
      </w:r>
      <w:r w:rsidR="0071664A" w:rsidRPr="006A79B9">
        <w:rPr>
          <w:rFonts w:ascii="Garamond" w:hAnsi="Garamond"/>
        </w:rPr>
        <w:t>took effect</w:t>
      </w:r>
      <w:r w:rsidRPr="006A79B9">
        <w:rPr>
          <w:rFonts w:ascii="Garamond" w:hAnsi="Garamond"/>
        </w:rPr>
        <w:t xml:space="preserve"> (i.e., April 10, 2024 versus May 20, 2024).</w:t>
      </w:r>
      <w:r w:rsidR="00334EC9" w:rsidRPr="006A79B9">
        <w:rPr>
          <w:rFonts w:ascii="Garamond" w:hAnsi="Garamond"/>
        </w:rPr>
        <w:t xml:space="preserve"> Moreover, while the rule change may have created pressure </w:t>
      </w:r>
      <w:r w:rsidR="003B4DE5" w:rsidRPr="006A79B9">
        <w:rPr>
          <w:rFonts w:ascii="Garamond" w:hAnsi="Garamond"/>
        </w:rPr>
        <w:t xml:space="preserve">or incentive for </w:t>
      </w:r>
      <w:r w:rsidR="00334EC9" w:rsidRPr="006A79B9">
        <w:rPr>
          <w:rFonts w:ascii="Garamond" w:hAnsi="Garamond"/>
        </w:rPr>
        <w:t xml:space="preserve"> some individuals to apply for a </w:t>
      </w:r>
      <w:r w:rsidR="003B4DE5" w:rsidRPr="006A79B9">
        <w:rPr>
          <w:rFonts w:ascii="Garamond" w:hAnsi="Garamond"/>
        </w:rPr>
        <w:t>Federal Firearm L</w:t>
      </w:r>
      <w:r w:rsidR="00334EC9" w:rsidRPr="006A79B9">
        <w:rPr>
          <w:rFonts w:ascii="Garamond" w:hAnsi="Garamond"/>
        </w:rPr>
        <w:t>icense, as noted it can take a minimum of two months to become a licensed dealer. Event studies are useful for detecting the potential delayed effect of the rule change under this type of circumstance.</w:t>
      </w:r>
    </w:p>
    <w:p w14:paraId="3DA775D1" w14:textId="293C443C" w:rsidR="00C932E0" w:rsidRPr="006A79B9" w:rsidRDefault="00C932E0" w:rsidP="0020578C">
      <w:pPr>
        <w:widowControl w:val="0"/>
        <w:spacing w:line="480" w:lineRule="auto"/>
        <w:jc w:val="both"/>
        <w:rPr>
          <w:rFonts w:ascii="Garamond" w:hAnsi="Garamond"/>
        </w:rPr>
      </w:pPr>
    </w:p>
    <w:p w14:paraId="6931CDE6" w14:textId="77777777" w:rsidR="00486E22" w:rsidRPr="006A79B9" w:rsidRDefault="00486E22" w:rsidP="0020578C">
      <w:pPr>
        <w:widowControl w:val="0"/>
        <w:spacing w:line="480" w:lineRule="auto"/>
        <w:jc w:val="both"/>
        <w:rPr>
          <w:rFonts w:ascii="Garamond" w:hAnsi="Garamond"/>
          <w:b/>
          <w:bCs/>
        </w:rPr>
      </w:pPr>
      <w:r w:rsidRPr="006A79B9">
        <w:rPr>
          <w:rFonts w:ascii="Garamond" w:hAnsi="Garamond"/>
          <w:b/>
          <w:bCs/>
        </w:rPr>
        <w:t>DiD Estimator</w:t>
      </w:r>
    </w:p>
    <w:p w14:paraId="64619340" w14:textId="78E49DA0" w:rsidR="00796FD4" w:rsidRDefault="00486E22" w:rsidP="0020578C">
      <w:pPr>
        <w:spacing w:line="480" w:lineRule="auto"/>
        <w:jc w:val="both"/>
        <w:rPr>
          <w:rFonts w:ascii="Garamond" w:hAnsi="Garamond" w:cstheme="minorHAnsi"/>
        </w:rPr>
      </w:pPr>
      <w:r w:rsidRPr="006A79B9">
        <w:rPr>
          <w:rFonts w:ascii="Garamond" w:hAnsi="Garamond" w:cstheme="minorHAnsi"/>
        </w:rPr>
        <w:t xml:space="preserve">To implement our DiD design, we use a two-way fixed effects estimator (TWFE). </w:t>
      </w:r>
      <w:r w:rsidR="00796FD4">
        <w:rPr>
          <w:rFonts w:ascii="Garamond" w:hAnsi="Garamond" w:cstheme="minorHAnsi"/>
        </w:rPr>
        <w:t xml:space="preserve">Since the rule change took effect in all treated states on the same date, our design is not </w:t>
      </w:r>
      <w:r w:rsidR="003028ED">
        <w:rPr>
          <w:rFonts w:ascii="Garamond" w:hAnsi="Garamond" w:cstheme="minorHAnsi"/>
        </w:rPr>
        <w:t>a</w:t>
      </w:r>
      <w:r w:rsidR="00796FD4">
        <w:rPr>
          <w:rFonts w:ascii="Garamond" w:hAnsi="Garamond" w:cstheme="minorHAnsi"/>
        </w:rPr>
        <w:t xml:space="preserve"> staggered setup that necessitates use of one of the recently developed estimators applicable to staggered policy rollouts (</w:t>
      </w:r>
      <w:r w:rsidR="00796FD4" w:rsidRPr="0041793D">
        <w:rPr>
          <w:rFonts w:ascii="Garamond" w:hAnsi="Garamond"/>
          <w:sz w:val="23"/>
          <w:szCs w:val="23"/>
        </w:rPr>
        <w:t>e.g., Callaway and Sant’Anna 2021; Roth et al. 2023</w:t>
      </w:r>
      <w:r w:rsidR="00796FD4">
        <w:rPr>
          <w:rFonts w:ascii="Garamond" w:hAnsi="Garamond" w:cstheme="minorHAnsi"/>
        </w:rPr>
        <w:t>).</w:t>
      </w:r>
    </w:p>
    <w:p w14:paraId="77918C21" w14:textId="789E3FCF" w:rsidR="004F5076" w:rsidRPr="006A79B9" w:rsidRDefault="00A66680" w:rsidP="0068648E">
      <w:pPr>
        <w:spacing w:line="480" w:lineRule="auto"/>
        <w:ind w:firstLine="720"/>
        <w:jc w:val="both"/>
        <w:rPr>
          <w:rFonts w:ascii="Garamond" w:hAnsi="Garamond" w:cstheme="minorHAnsi"/>
          <w:i/>
          <w:iCs/>
        </w:rPr>
      </w:pPr>
      <w:r w:rsidRPr="006A79B9">
        <w:rPr>
          <w:rFonts w:ascii="Garamond" w:hAnsi="Garamond" w:cstheme="minorHAnsi"/>
        </w:rPr>
        <w:t xml:space="preserve">As both </w:t>
      </w:r>
      <w:r w:rsidR="0068648E">
        <w:rPr>
          <w:rFonts w:ascii="Garamond" w:hAnsi="Garamond" w:cstheme="minorHAnsi"/>
        </w:rPr>
        <w:t xml:space="preserve">of our </w:t>
      </w:r>
      <w:r w:rsidRPr="006A79B9">
        <w:rPr>
          <w:rFonts w:ascii="Garamond" w:hAnsi="Garamond" w:cstheme="minorHAnsi"/>
        </w:rPr>
        <w:t xml:space="preserve">outcomes are counts, we use the </w:t>
      </w:r>
      <w:r w:rsidRPr="001B7355">
        <w:rPr>
          <w:rFonts w:ascii="Courier New" w:hAnsi="Courier New" w:cs="Courier New"/>
          <w:sz w:val="22"/>
          <w:szCs w:val="22"/>
        </w:rPr>
        <w:t>ppmlhdfe</w:t>
      </w:r>
      <w:r w:rsidRPr="006A79B9">
        <w:rPr>
          <w:rFonts w:ascii="Garamond" w:hAnsi="Garamond" w:cstheme="minorHAnsi"/>
        </w:rPr>
        <w:t xml:space="preserve"> command in Stata 18 to estimate a Poisson Pseudo</w:t>
      </w:r>
      <w:r w:rsidR="00056EF1">
        <w:rPr>
          <w:rFonts w:ascii="Garamond" w:hAnsi="Garamond" w:cstheme="minorHAnsi"/>
        </w:rPr>
        <w:t>-</w:t>
      </w:r>
      <w:r w:rsidRPr="006A79B9">
        <w:rPr>
          <w:rFonts w:ascii="Garamond" w:hAnsi="Garamond" w:cstheme="minorHAnsi"/>
        </w:rPr>
        <w:t>Maximum Likelihood (PPML) model with fixed effects for both state and month-year</w:t>
      </w:r>
      <w:r w:rsidR="00056EF1">
        <w:rPr>
          <w:rFonts w:ascii="Garamond" w:hAnsi="Garamond" w:cstheme="minorHAnsi"/>
        </w:rPr>
        <w:t>:</w:t>
      </w:r>
    </w:p>
    <w:p w14:paraId="7FECE8D7" w14:textId="253013A7" w:rsidR="00486E22" w:rsidRPr="006A79B9" w:rsidRDefault="004F5076" w:rsidP="0020578C">
      <w:pPr>
        <w:spacing w:line="480" w:lineRule="auto"/>
        <w:ind w:left="2160" w:firstLine="720"/>
        <w:jc w:val="both"/>
        <w:rPr>
          <w:rFonts w:ascii="Garamond" w:hAnsi="Garamond" w:cstheme="minorHAnsi"/>
        </w:rPr>
      </w:pPr>
      <m:oMath>
        <m:r>
          <m:rPr>
            <m:scr m:val="double-struck"/>
            <m:sty m:val="p"/>
          </m:rPr>
          <w:rPr>
            <w:rFonts w:ascii="Cambria Math" w:hAnsi="Cambria Math" w:cstheme="minorHAnsi"/>
          </w:rPr>
          <w:lastRenderedPageBreak/>
          <m:t>E</m:t>
        </m:r>
        <m:d>
          <m:dPr>
            <m:begChr m:val="["/>
            <m:endChr m:val="]"/>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st</m:t>
                </m:r>
              </m:sub>
            </m:sSub>
          </m:e>
        </m:d>
        <m:r>
          <w:rPr>
            <w:rFonts w:ascii="Cambria Math" w:hAnsi="Cambria Math" w:cstheme="minorHAnsi"/>
          </w:rPr>
          <m:t>=exp</m:t>
        </m:r>
        <m:d>
          <m:dPr>
            <m:ctrlPr>
              <w:rPr>
                <w:rFonts w:ascii="Cambria Math" w:hAnsi="Cambria Math" w:cstheme="minorHAnsi"/>
                <w:i/>
              </w:rPr>
            </m:ctrlPr>
          </m:dPr>
          <m:e>
            <m:r>
              <w:rPr>
                <w:rFonts w:ascii="Cambria Math" w:hAnsi="Cambria Math" w:cstheme="minorHAnsi"/>
              </w:rPr>
              <m:t>α+</m:t>
            </m:r>
            <m:sSub>
              <m:sSubPr>
                <m:ctrlPr>
                  <w:rPr>
                    <w:rFonts w:ascii="Cambria Math" w:hAnsi="Cambria Math" w:cstheme="minorHAnsi"/>
                    <w:i/>
                  </w:rPr>
                </m:ctrlPr>
              </m:sSubPr>
              <m:e>
                <m:r>
                  <w:rPr>
                    <w:rFonts w:ascii="Cambria Math" w:hAnsi="Cambria Math" w:cstheme="minorHAnsi"/>
                  </w:rPr>
                  <m:t>β</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st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ϑ</m:t>
                    </m:r>
                  </m:e>
                  <m:sub>
                    <m:r>
                      <w:rPr>
                        <w:rFonts w:ascii="Cambria Math" w:hAnsi="Cambria Math" w:cstheme="minorHAnsi"/>
                      </w:rPr>
                      <m:t>s</m:t>
                    </m:r>
                  </m:sub>
                </m:sSub>
                <m:r>
                  <w:rPr>
                    <w:rFonts w:ascii="Cambria Math" w:hAnsi="Cambria Math" w:cstheme="minorHAnsi"/>
                  </w:rPr>
                  <m:t>+ γ</m:t>
                </m:r>
              </m:e>
              <m:sub>
                <m:r>
                  <w:rPr>
                    <w:rFonts w:ascii="Cambria Math" w:hAnsi="Cambria Math" w:cstheme="minorHAnsi"/>
                  </w:rPr>
                  <m:t>t</m:t>
                </m:r>
              </m:sub>
            </m:sSub>
          </m:e>
        </m:d>
      </m:oMath>
      <w:r w:rsidRPr="006A79B9">
        <w:rPr>
          <w:rFonts w:ascii="Garamond" w:eastAsiaTheme="minorEastAsia" w:hAnsi="Garamond" w:cstheme="minorHAnsi"/>
        </w:rPr>
        <w:tab/>
      </w:r>
      <w:r w:rsidRPr="006A79B9">
        <w:rPr>
          <w:rFonts w:ascii="Garamond" w:eastAsiaTheme="minorEastAsia" w:hAnsi="Garamond" w:cstheme="minorHAnsi"/>
        </w:rPr>
        <w:tab/>
      </w:r>
      <w:r w:rsidRPr="006A79B9">
        <w:rPr>
          <w:rFonts w:ascii="Garamond" w:eastAsiaTheme="minorEastAsia" w:hAnsi="Garamond" w:cstheme="minorHAnsi"/>
        </w:rPr>
        <w:tab/>
      </w:r>
      <w:r w:rsidRPr="006A79B9">
        <w:rPr>
          <w:rFonts w:ascii="Garamond" w:eastAsiaTheme="minorEastAsia" w:hAnsi="Garamond" w:cstheme="minorHAnsi"/>
        </w:rPr>
        <w:tab/>
        <w:t>(1)</w:t>
      </w:r>
      <w:r w:rsidR="00486E22" w:rsidRPr="006A79B9">
        <w:rPr>
          <w:rFonts w:ascii="Garamond" w:eastAsiaTheme="minorEastAsia" w:hAnsi="Garamond" w:cstheme="minorHAnsi"/>
        </w:rPr>
        <w:tab/>
      </w:r>
      <w:r w:rsidR="00486E22" w:rsidRPr="006A79B9">
        <w:rPr>
          <w:rFonts w:ascii="Garamond" w:eastAsiaTheme="minorEastAsia" w:hAnsi="Garamond" w:cstheme="minorHAnsi"/>
        </w:rPr>
        <w:tab/>
      </w:r>
      <w:r w:rsidR="00486E22" w:rsidRPr="006A79B9">
        <w:rPr>
          <w:rFonts w:ascii="Garamond" w:eastAsiaTheme="minorEastAsia" w:hAnsi="Garamond" w:cstheme="minorHAnsi"/>
        </w:rPr>
        <w:tab/>
      </w:r>
    </w:p>
    <w:p w14:paraId="3EAD773E" w14:textId="3D4662CB" w:rsidR="00486E22" w:rsidRPr="006A79B9" w:rsidRDefault="00486E22" w:rsidP="0020578C">
      <w:pPr>
        <w:spacing w:line="480" w:lineRule="auto"/>
        <w:jc w:val="both"/>
        <w:rPr>
          <w:rFonts w:ascii="Garamond" w:hAnsi="Garamond" w:cstheme="minorHAnsi"/>
        </w:rPr>
      </w:pPr>
      <w:r w:rsidRPr="006A79B9">
        <w:rPr>
          <w:rFonts w:ascii="Garamond" w:hAnsi="Garamond" w:cstheme="minorHAnsi"/>
        </w:rPr>
        <w:t xml:space="preserve">where </w:t>
      </w:r>
      <w:r w:rsidRPr="006A79B9">
        <w:rPr>
          <w:rFonts w:ascii="Garamond" w:hAnsi="Garamond" w:cstheme="minorHAnsi"/>
          <w:i/>
          <w:iCs/>
        </w:rPr>
        <w:t>s</w:t>
      </w:r>
      <w:r w:rsidRPr="006A79B9">
        <w:rPr>
          <w:rFonts w:ascii="Garamond" w:hAnsi="Garamond" w:cstheme="minorHAnsi"/>
        </w:rPr>
        <w:t xml:space="preserve"> indexes state (N = 47, including Washington, DC), </w:t>
      </w:r>
      <w:r w:rsidRPr="006A79B9">
        <w:rPr>
          <w:rFonts w:ascii="Garamond" w:hAnsi="Garamond" w:cstheme="minorHAnsi"/>
          <w:i/>
          <w:iCs/>
        </w:rPr>
        <w:t>t</w:t>
      </w:r>
      <w:r w:rsidRPr="006A79B9">
        <w:rPr>
          <w:rFonts w:ascii="Garamond" w:hAnsi="Garamond" w:cstheme="minorHAnsi"/>
        </w:rPr>
        <w:t xml:space="preserve"> indexes month (N = 2</w:t>
      </w:r>
      <w:r w:rsidR="00E448F1">
        <w:rPr>
          <w:rFonts w:ascii="Garamond" w:hAnsi="Garamond" w:cstheme="minorHAnsi"/>
        </w:rPr>
        <w:t>5</w:t>
      </w:r>
      <w:r w:rsidRPr="006A79B9">
        <w:rPr>
          <w:rFonts w:ascii="Garamond" w:hAnsi="Garamond" w:cstheme="minorHAnsi"/>
        </w:rPr>
        <w:t xml:space="preserve"> months, 1</w:t>
      </w:r>
      <w:r w:rsidR="00E448F1">
        <w:rPr>
          <w:rFonts w:ascii="Garamond" w:hAnsi="Garamond" w:cstheme="minorHAnsi"/>
        </w:rPr>
        <w:t>2</w:t>
      </w:r>
      <w:r w:rsidRPr="006A79B9">
        <w:rPr>
          <w:rFonts w:ascii="Garamond" w:hAnsi="Garamond" w:cstheme="minorHAnsi"/>
        </w:rPr>
        <w:t xml:space="preserve"> pre-treatment</w:t>
      </w:r>
      <w:r w:rsidR="00056EF1">
        <w:rPr>
          <w:rFonts w:ascii="Garamond" w:hAnsi="Garamond" w:cstheme="minorHAnsi"/>
        </w:rPr>
        <w:t>, the treatment month,</w:t>
      </w:r>
      <w:r w:rsidRPr="006A79B9">
        <w:rPr>
          <w:rFonts w:ascii="Garamond" w:hAnsi="Garamond" w:cstheme="minorHAnsi"/>
        </w:rPr>
        <w:t xml:space="preserve"> and 12 post-treatment), </w:t>
      </w:r>
      <m:oMath>
        <m:sSub>
          <m:sSubPr>
            <m:ctrlPr>
              <w:rPr>
                <w:rFonts w:ascii="Cambria Math" w:hAnsi="Cambria Math" w:cstheme="minorHAnsi"/>
                <w:i/>
              </w:rPr>
            </m:ctrlPr>
          </m:sSubPr>
          <m:e>
            <m:r>
              <w:rPr>
                <w:rFonts w:ascii="Cambria Math" w:hAnsi="Cambria Math" w:cstheme="minorHAnsi"/>
              </w:rPr>
              <m:t>ϑ</m:t>
            </m:r>
          </m:e>
          <m:sub>
            <m:r>
              <w:rPr>
                <w:rFonts w:ascii="Cambria Math" w:hAnsi="Cambria Math" w:cstheme="minorHAnsi"/>
              </w:rPr>
              <m:t>s</m:t>
            </m:r>
          </m:sub>
        </m:sSub>
      </m:oMath>
      <w:r w:rsidRPr="006A79B9">
        <w:rPr>
          <w:rFonts w:ascii="Garamond" w:hAnsi="Garamond" w:cstheme="minorHAnsi"/>
          <w:i/>
          <w:iCs/>
        </w:rPr>
        <w:t xml:space="preserve"> </w:t>
      </w:r>
      <w:r w:rsidRPr="006A79B9">
        <w:rPr>
          <w:rFonts w:ascii="Garamond" w:hAnsi="Garamond" w:cstheme="minorHAnsi"/>
        </w:rPr>
        <w:t xml:space="preserve">is a state fixed effect, </w:t>
      </w:r>
      <m:oMath>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t</m:t>
            </m:r>
          </m:sub>
        </m:sSub>
      </m:oMath>
      <w:r w:rsidRPr="006A79B9">
        <w:rPr>
          <w:rFonts w:ascii="Garamond" w:hAnsi="Garamond" w:cstheme="minorHAnsi"/>
        </w:rPr>
        <w:t xml:space="preserve"> is a month</w:t>
      </w:r>
      <w:r w:rsidR="007702CE" w:rsidRPr="006A79B9">
        <w:rPr>
          <w:rFonts w:ascii="Garamond" w:hAnsi="Garamond" w:cstheme="minorHAnsi"/>
        </w:rPr>
        <w:t>-year</w:t>
      </w:r>
      <w:r w:rsidRPr="006A79B9">
        <w:rPr>
          <w:rFonts w:ascii="Garamond" w:hAnsi="Garamond" w:cstheme="minorHAnsi"/>
        </w:rPr>
        <w:t xml:space="preserve"> fixed effect,</w:t>
      </w:r>
      <w:r w:rsidR="001131DC">
        <w:rPr>
          <w:rFonts w:ascii="Garamond" w:hAnsi="Garamond" w:cstheme="minorHAnsi"/>
        </w:rPr>
        <w:t xml:space="preserve"> and</w:t>
      </w:r>
      <w:r w:rsidRPr="006A79B9">
        <w:rPr>
          <w:rFonts w:ascii="Garamond" w:hAnsi="Garamond" w:cstheme="minorHAnsi"/>
        </w:rPr>
        <w:t xml:space="preser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st</m:t>
            </m:r>
          </m:sub>
        </m:sSub>
      </m:oMath>
      <w:r w:rsidRPr="006A79B9">
        <w:rPr>
          <w:rFonts w:ascii="Garamond" w:hAnsi="Garamond" w:cstheme="minorHAnsi"/>
        </w:rPr>
        <w:t xml:space="preserve"> is a treatment dummy variable. </w:t>
      </w:r>
      <m:oMath>
        <m:r>
          <w:rPr>
            <w:rFonts w:ascii="Cambria Math" w:hAnsi="Cambria Math" w:cstheme="minorHAnsi"/>
          </w:rPr>
          <m:t>β</m:t>
        </m:r>
      </m:oMath>
      <w:r w:rsidRPr="006A79B9">
        <w:rPr>
          <w:rFonts w:ascii="Garamond" w:hAnsi="Garamond" w:cstheme="minorHAnsi"/>
        </w:rPr>
        <w:t xml:space="preserve"> is the parameter of interest. It is the average difference in the outcome for the treated states in the </w:t>
      </w:r>
      <w:r w:rsidR="00056EF1">
        <w:rPr>
          <w:rFonts w:ascii="Garamond" w:hAnsi="Garamond" w:cstheme="minorHAnsi"/>
        </w:rPr>
        <w:t xml:space="preserve">pre-treatment period </w:t>
      </w:r>
      <w:r w:rsidRPr="006A79B9">
        <w:rPr>
          <w:rFonts w:ascii="Garamond" w:hAnsi="Garamond" w:cstheme="minorHAnsi"/>
        </w:rPr>
        <w:t xml:space="preserve">before versus 12 months after the loophole rule change, minus the average difference for the control group over the same </w:t>
      </w:r>
      <w:proofErr w:type="gramStart"/>
      <w:r w:rsidRPr="006A79B9">
        <w:rPr>
          <w:rFonts w:ascii="Garamond" w:hAnsi="Garamond" w:cstheme="minorHAnsi"/>
        </w:rPr>
        <w:t>time period</w:t>
      </w:r>
      <w:proofErr w:type="gramEnd"/>
      <w:r w:rsidRPr="006A79B9">
        <w:rPr>
          <w:rFonts w:ascii="Garamond" w:hAnsi="Garamond" w:cstheme="minorHAnsi"/>
        </w:rPr>
        <w:t xml:space="preserve">. We cluster standard errors at the state-level. </w:t>
      </w:r>
    </w:p>
    <w:p w14:paraId="24067EF3" w14:textId="3CCB8E87" w:rsidR="00314A02" w:rsidRDefault="001A11CB" w:rsidP="0020578C">
      <w:pPr>
        <w:widowControl w:val="0"/>
        <w:spacing w:line="480" w:lineRule="auto"/>
        <w:ind w:firstLine="720"/>
        <w:jc w:val="both"/>
        <w:rPr>
          <w:rFonts w:ascii="Garamond" w:hAnsi="Garamond"/>
        </w:rPr>
      </w:pPr>
      <w:r>
        <w:rPr>
          <w:rFonts w:ascii="Garamond" w:hAnsi="Garamond"/>
        </w:rPr>
        <w:t xml:space="preserve">Figures 2 and 3 display the raw trends in </w:t>
      </w:r>
      <w:r w:rsidR="003028ED">
        <w:rPr>
          <w:rFonts w:ascii="Garamond" w:hAnsi="Garamond"/>
        </w:rPr>
        <w:t xml:space="preserve">the two outcomes, </w:t>
      </w:r>
      <w:r>
        <w:rPr>
          <w:rFonts w:ascii="Garamond" w:hAnsi="Garamond"/>
        </w:rPr>
        <w:t>FFLs and background checks</w:t>
      </w:r>
      <w:r w:rsidR="003028ED">
        <w:rPr>
          <w:rFonts w:ascii="Garamond" w:hAnsi="Garamond"/>
        </w:rPr>
        <w:t>,</w:t>
      </w:r>
      <w:r>
        <w:rPr>
          <w:rFonts w:ascii="Garamond" w:hAnsi="Garamond"/>
        </w:rPr>
        <w:t xml:space="preserve"> over the observation period. </w:t>
      </w:r>
      <w:r w:rsidR="00314A02">
        <w:rPr>
          <w:rFonts w:ascii="Garamond" w:hAnsi="Garamond"/>
        </w:rPr>
        <w:t>In both graphs there is evidence of</w:t>
      </w:r>
      <w:r w:rsidR="003028ED">
        <w:rPr>
          <w:rFonts w:ascii="Garamond" w:hAnsi="Garamond"/>
        </w:rPr>
        <w:t xml:space="preserve"> </w:t>
      </w:r>
      <w:r w:rsidR="00314A02">
        <w:rPr>
          <w:rFonts w:ascii="Garamond" w:hAnsi="Garamond"/>
        </w:rPr>
        <w:t xml:space="preserve">seasonality. In Figure 2, we see that new FFLs are more likely to be issued a license in the spring and summer versus winter. The timing reflects, in part, when applications for a license are submitted, as it takes approximately two months to process a properly completed application. </w:t>
      </w:r>
    </w:p>
    <w:p w14:paraId="6AA7B2D2" w14:textId="472EEAC0" w:rsidR="00486E22" w:rsidRPr="006A79B9" w:rsidRDefault="003028ED" w:rsidP="0020578C">
      <w:pPr>
        <w:widowControl w:val="0"/>
        <w:spacing w:line="480" w:lineRule="auto"/>
        <w:ind w:firstLine="720"/>
        <w:jc w:val="both"/>
        <w:rPr>
          <w:rFonts w:ascii="Garamond" w:hAnsi="Garamond"/>
        </w:rPr>
      </w:pPr>
      <w:r>
        <w:rPr>
          <w:rFonts w:ascii="Garamond" w:hAnsi="Garamond"/>
        </w:rPr>
        <w:t xml:space="preserve">The seasonality in average background checks </w:t>
      </w:r>
      <w:r w:rsidR="001370FE">
        <w:rPr>
          <w:rFonts w:ascii="Garamond" w:hAnsi="Garamond"/>
        </w:rPr>
        <w:t xml:space="preserve">depicted in Figure </w:t>
      </w:r>
      <w:r w:rsidR="001A11CB">
        <w:rPr>
          <w:rFonts w:ascii="Garamond" w:hAnsi="Garamond"/>
        </w:rPr>
        <w:t>3</w:t>
      </w:r>
      <w:r>
        <w:rPr>
          <w:rFonts w:ascii="Garamond" w:hAnsi="Garamond"/>
        </w:rPr>
        <w:t xml:space="preserve"> likely reflects</w:t>
      </w:r>
      <w:r w:rsidR="001370FE">
        <w:rPr>
          <w:rFonts w:ascii="Garamond" w:hAnsi="Garamond"/>
        </w:rPr>
        <w:t xml:space="preserve"> seasonal</w:t>
      </w:r>
      <w:r w:rsidR="00321935">
        <w:rPr>
          <w:rFonts w:ascii="Garamond" w:hAnsi="Garamond"/>
        </w:rPr>
        <w:t xml:space="preserve"> variation</w:t>
      </w:r>
      <w:r w:rsidR="001370FE">
        <w:rPr>
          <w:rFonts w:ascii="Garamond" w:hAnsi="Garamond"/>
        </w:rPr>
        <w:t xml:space="preserve"> in firearm purchasing. For instance, sales typically increase around the November and December holidays. </w:t>
      </w:r>
      <w:r w:rsidR="00486E22" w:rsidRPr="006A79B9">
        <w:rPr>
          <w:rFonts w:ascii="Garamond" w:hAnsi="Garamond"/>
        </w:rPr>
        <w:t xml:space="preserve">Given seasonality in </w:t>
      </w:r>
      <w:r w:rsidR="007379FC">
        <w:rPr>
          <w:rFonts w:ascii="Garamond" w:hAnsi="Garamond"/>
        </w:rPr>
        <w:t xml:space="preserve">the issuance of FFLs as well as </w:t>
      </w:r>
      <w:r w:rsidR="00486E22" w:rsidRPr="006A79B9">
        <w:rPr>
          <w:rFonts w:ascii="Garamond" w:hAnsi="Garamond"/>
        </w:rPr>
        <w:t xml:space="preserve">gun purchasing, it is important to include the </w:t>
      </w:r>
      <w:r w:rsidR="00486E22" w:rsidRPr="006A79B9">
        <w:rPr>
          <w:rFonts w:ascii="Garamond" w:hAnsi="Garamond" w:cstheme="minorHAnsi"/>
        </w:rPr>
        <w:t>month-year fixed effect,</w:t>
      </w:r>
      <w:r w:rsidR="00486E22" w:rsidRPr="006A79B9">
        <w:rPr>
          <w:rFonts w:ascii="Cambria Math" w:hAnsi="Cambria Math" w:cstheme="minorHAnsi"/>
          <w:i/>
        </w:rPr>
        <w:t xml:space="preserve"> </w:t>
      </w:r>
      <m:oMath>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t</m:t>
            </m:r>
          </m:sub>
        </m:sSub>
      </m:oMath>
      <w:r w:rsidR="00EF42C9">
        <w:rPr>
          <w:rFonts w:ascii="Garamond" w:hAnsi="Garamond" w:cstheme="minorHAnsi"/>
        </w:rPr>
        <w:t>, in our model</w:t>
      </w:r>
      <w:r w:rsidR="007379FC">
        <w:rPr>
          <w:rFonts w:ascii="Garamond" w:hAnsi="Garamond" w:cstheme="minorHAnsi"/>
        </w:rPr>
        <w:t>s</w:t>
      </w:r>
      <w:r w:rsidR="00EF42C9">
        <w:rPr>
          <w:rFonts w:ascii="Garamond" w:hAnsi="Garamond" w:cstheme="minorHAnsi"/>
        </w:rPr>
        <w:t xml:space="preserve">. </w:t>
      </w:r>
      <w:r w:rsidR="00486E22" w:rsidRPr="006A79B9">
        <w:rPr>
          <w:rFonts w:ascii="Garamond" w:hAnsi="Garamond" w:cstheme="minorHAnsi"/>
        </w:rPr>
        <w:t>Doing so helps us account</w:t>
      </w:r>
      <w:r w:rsidR="0068648E">
        <w:rPr>
          <w:rFonts w:ascii="Garamond" w:hAnsi="Garamond" w:cstheme="minorHAnsi"/>
        </w:rPr>
        <w:t xml:space="preserve"> for the</w:t>
      </w:r>
      <w:r w:rsidR="00486E22" w:rsidRPr="006A79B9">
        <w:rPr>
          <w:rFonts w:ascii="Garamond" w:hAnsi="Garamond" w:cstheme="minorHAnsi"/>
        </w:rPr>
        <w:t xml:space="preserve"> seasonality as well as </w:t>
      </w:r>
      <w:r w:rsidR="00486E22" w:rsidRPr="006A79B9">
        <w:rPr>
          <w:rFonts w:ascii="Garamond" w:hAnsi="Garamond"/>
        </w:rPr>
        <w:t xml:space="preserve">common shocks to all states such as national elections or an economic shock like a tariff war. </w:t>
      </w:r>
      <w:r w:rsidR="00254DDE">
        <w:rPr>
          <w:rFonts w:ascii="Garamond" w:hAnsi="Garamond"/>
        </w:rPr>
        <w:t>The month-year fixed effect accounts for seasonal effects that are common across all states, although would not account for any differential seasonality</w:t>
      </w:r>
      <w:r w:rsidR="00A976E0">
        <w:rPr>
          <w:rFonts w:ascii="Garamond" w:hAnsi="Garamond"/>
        </w:rPr>
        <w:t xml:space="preserve"> patterns</w:t>
      </w:r>
      <w:r w:rsidR="00254DDE">
        <w:rPr>
          <w:rFonts w:ascii="Garamond" w:hAnsi="Garamond"/>
        </w:rPr>
        <w:t xml:space="preserve"> between treated and control states. </w:t>
      </w:r>
      <w:r w:rsidR="00EF42C9">
        <w:rPr>
          <w:rFonts w:ascii="Garamond" w:hAnsi="Garamond"/>
        </w:rPr>
        <w:t>We return to this point later</w:t>
      </w:r>
      <w:r w:rsidR="00EE2E98">
        <w:rPr>
          <w:rFonts w:ascii="Garamond" w:hAnsi="Garamond"/>
        </w:rPr>
        <w:t xml:space="preserve">, as the gap in average background checks </w:t>
      </w:r>
      <w:r>
        <w:rPr>
          <w:rFonts w:ascii="Garamond" w:hAnsi="Garamond"/>
        </w:rPr>
        <w:t xml:space="preserve">between treated and control states </w:t>
      </w:r>
      <w:r w:rsidR="00EE2E98">
        <w:rPr>
          <w:rFonts w:ascii="Garamond" w:hAnsi="Garamond"/>
        </w:rPr>
        <w:t>shown in Figure 3 appears to become an order of magnitude larger during the holiday buying season.</w:t>
      </w:r>
    </w:p>
    <w:p w14:paraId="1FC4582C" w14:textId="77777777" w:rsidR="00486E22" w:rsidRDefault="00486E22" w:rsidP="0020578C">
      <w:pPr>
        <w:spacing w:line="480" w:lineRule="auto"/>
        <w:jc w:val="both"/>
        <w:rPr>
          <w:rFonts w:ascii="Garamond" w:hAnsi="Garamond" w:cstheme="minorHAnsi"/>
        </w:rPr>
      </w:pPr>
    </w:p>
    <w:p w14:paraId="74001CD5" w14:textId="50CC59F9" w:rsidR="00314A02" w:rsidRDefault="00314A02" w:rsidP="00314A02">
      <w:pPr>
        <w:keepNext/>
        <w:spacing w:line="480" w:lineRule="auto"/>
        <w:jc w:val="both"/>
        <w:rPr>
          <w:rFonts w:ascii="Garamond" w:hAnsi="Garamond" w:cstheme="minorHAnsi"/>
          <w:b/>
          <w:bCs/>
        </w:rPr>
      </w:pPr>
      <w:r w:rsidRPr="006A79B9">
        <w:rPr>
          <w:rFonts w:ascii="Garamond" w:hAnsi="Garamond" w:cstheme="minorHAnsi"/>
          <w:b/>
          <w:bCs/>
        </w:rPr>
        <w:lastRenderedPageBreak/>
        <w:t xml:space="preserve">Figure </w:t>
      </w:r>
      <w:r>
        <w:rPr>
          <w:rFonts w:ascii="Garamond" w:hAnsi="Garamond" w:cstheme="minorHAnsi"/>
          <w:b/>
          <w:bCs/>
        </w:rPr>
        <w:t>2</w:t>
      </w:r>
      <w:r w:rsidRPr="006A79B9">
        <w:rPr>
          <w:rFonts w:ascii="Garamond" w:hAnsi="Garamond" w:cstheme="minorHAnsi"/>
          <w:b/>
          <w:bCs/>
        </w:rPr>
        <w:t>.</w:t>
      </w:r>
      <w:r w:rsidRPr="0088451B">
        <w:rPr>
          <w:rFonts w:ascii="Garamond" w:hAnsi="Garamond" w:cstheme="minorHAnsi"/>
          <w:b/>
          <w:bCs/>
        </w:rPr>
        <w:t xml:space="preserve"> </w:t>
      </w:r>
      <w:r>
        <w:rPr>
          <w:rFonts w:ascii="Garamond" w:hAnsi="Garamond" w:cstheme="minorHAnsi"/>
          <w:b/>
          <w:bCs/>
        </w:rPr>
        <w:t xml:space="preserve">Raw Counts of New FFLs by </w:t>
      </w:r>
      <w:r w:rsidRPr="0088451B">
        <w:rPr>
          <w:rFonts w:ascii="Garamond" w:hAnsi="Garamond" w:cstheme="minorHAnsi"/>
          <w:b/>
          <w:bCs/>
        </w:rPr>
        <w:t>Treatment Status</w:t>
      </w:r>
    </w:p>
    <w:p w14:paraId="2F081641" w14:textId="48C3E33B" w:rsidR="00314A02" w:rsidRPr="006A79B9" w:rsidRDefault="00314A02" w:rsidP="00314A02">
      <w:pPr>
        <w:keepNext/>
        <w:spacing w:line="480" w:lineRule="auto"/>
        <w:jc w:val="both"/>
        <w:rPr>
          <w:rFonts w:ascii="Garamond" w:hAnsi="Garamond"/>
        </w:rPr>
      </w:pPr>
      <w:r>
        <w:rPr>
          <w:rFonts w:ascii="Garamond" w:hAnsi="Garamond"/>
          <w:noProof/>
          <w14:ligatures w14:val="standardContextual"/>
        </w:rPr>
        <w:drawing>
          <wp:inline distT="0" distB="0" distL="0" distR="0" wp14:anchorId="1DF13277" wp14:editId="68379633">
            <wp:extent cx="5120640" cy="3072384"/>
            <wp:effectExtent l="0" t="0" r="3810" b="0"/>
            <wp:docPr id="1325448160"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48160" name="Picture 1" descr="A graph of a line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120640" cy="3072384"/>
                    </a:xfrm>
                    <a:prstGeom prst="rect">
                      <a:avLst/>
                    </a:prstGeom>
                  </pic:spPr>
                </pic:pic>
              </a:graphicData>
            </a:graphic>
          </wp:inline>
        </w:drawing>
      </w:r>
    </w:p>
    <w:p w14:paraId="08F46E30" w14:textId="77777777" w:rsidR="00314A02" w:rsidRDefault="00314A02" w:rsidP="001370FE">
      <w:pPr>
        <w:keepNext/>
        <w:spacing w:line="480" w:lineRule="auto"/>
        <w:jc w:val="both"/>
        <w:rPr>
          <w:rFonts w:ascii="Garamond" w:hAnsi="Garamond" w:cstheme="minorHAnsi"/>
          <w:b/>
          <w:bCs/>
        </w:rPr>
      </w:pPr>
    </w:p>
    <w:p w14:paraId="73A17D57" w14:textId="77777777" w:rsidR="00314A02" w:rsidRDefault="00314A02" w:rsidP="001370FE">
      <w:pPr>
        <w:keepNext/>
        <w:spacing w:line="480" w:lineRule="auto"/>
        <w:jc w:val="both"/>
        <w:rPr>
          <w:rFonts w:ascii="Garamond" w:hAnsi="Garamond" w:cstheme="minorHAnsi"/>
          <w:b/>
          <w:bCs/>
        </w:rPr>
      </w:pPr>
    </w:p>
    <w:p w14:paraId="0E98B0E3" w14:textId="2433D5E5" w:rsidR="001370FE" w:rsidRPr="006A79B9" w:rsidRDefault="001370FE" w:rsidP="001370FE">
      <w:pPr>
        <w:keepNext/>
        <w:spacing w:line="480" w:lineRule="auto"/>
        <w:jc w:val="both"/>
        <w:rPr>
          <w:rFonts w:ascii="Garamond" w:hAnsi="Garamond"/>
        </w:rPr>
      </w:pPr>
      <w:r w:rsidRPr="006A79B9">
        <w:rPr>
          <w:rFonts w:ascii="Garamond" w:hAnsi="Garamond" w:cstheme="minorHAnsi"/>
          <w:b/>
          <w:bCs/>
        </w:rPr>
        <w:t xml:space="preserve">Figure </w:t>
      </w:r>
      <w:r w:rsidR="00314A02">
        <w:rPr>
          <w:rFonts w:ascii="Garamond" w:hAnsi="Garamond" w:cstheme="minorHAnsi"/>
          <w:b/>
          <w:bCs/>
        </w:rPr>
        <w:t>3</w:t>
      </w:r>
      <w:r w:rsidRPr="006A79B9">
        <w:rPr>
          <w:rFonts w:ascii="Garamond" w:hAnsi="Garamond" w:cstheme="minorHAnsi"/>
          <w:b/>
          <w:bCs/>
        </w:rPr>
        <w:t>.</w:t>
      </w:r>
      <w:r w:rsidRPr="0088451B">
        <w:rPr>
          <w:rFonts w:ascii="Garamond" w:hAnsi="Garamond" w:cstheme="minorHAnsi"/>
          <w:b/>
          <w:bCs/>
        </w:rPr>
        <w:t xml:space="preserve"> </w:t>
      </w:r>
      <w:r w:rsidR="00314A02">
        <w:rPr>
          <w:rFonts w:ascii="Garamond" w:hAnsi="Garamond" w:cstheme="minorHAnsi"/>
          <w:b/>
          <w:bCs/>
        </w:rPr>
        <w:t xml:space="preserve">Raws Count of NICS </w:t>
      </w:r>
      <w:r>
        <w:rPr>
          <w:rFonts w:ascii="Garamond" w:hAnsi="Garamond" w:cstheme="minorHAnsi"/>
          <w:b/>
          <w:bCs/>
        </w:rPr>
        <w:t xml:space="preserve">Background Checks </w:t>
      </w:r>
      <w:r w:rsidRPr="0088451B">
        <w:rPr>
          <w:rFonts w:ascii="Garamond" w:hAnsi="Garamond" w:cstheme="minorHAnsi"/>
          <w:b/>
          <w:bCs/>
        </w:rPr>
        <w:t>by Treatment Status</w:t>
      </w:r>
    </w:p>
    <w:p w14:paraId="0747F5EF" w14:textId="4A1EBC3F" w:rsidR="001370FE" w:rsidRDefault="00EF42C9" w:rsidP="0020578C">
      <w:pPr>
        <w:spacing w:line="480" w:lineRule="auto"/>
        <w:jc w:val="both"/>
        <w:rPr>
          <w:rFonts w:ascii="Garamond" w:hAnsi="Garamond" w:cstheme="minorHAnsi"/>
        </w:rPr>
      </w:pPr>
      <w:r>
        <w:rPr>
          <w:rFonts w:ascii="Garamond" w:hAnsi="Garamond" w:cstheme="minorHAnsi"/>
          <w:noProof/>
          <w14:ligatures w14:val="standardContextual"/>
        </w:rPr>
        <w:drawing>
          <wp:inline distT="0" distB="0" distL="0" distR="0" wp14:anchorId="18289382" wp14:editId="71A93D11">
            <wp:extent cx="5120640" cy="3072384"/>
            <wp:effectExtent l="0" t="0" r="3810" b="0"/>
            <wp:docPr id="1165354802" name="Picture 1" descr="A graph of a graph of a number of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54802" name="Picture 1" descr="A graph of a graph of a number of month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120640" cy="3072384"/>
                    </a:xfrm>
                    <a:prstGeom prst="rect">
                      <a:avLst/>
                    </a:prstGeom>
                  </pic:spPr>
                </pic:pic>
              </a:graphicData>
            </a:graphic>
          </wp:inline>
        </w:drawing>
      </w:r>
    </w:p>
    <w:p w14:paraId="70974D35" w14:textId="77777777" w:rsidR="00EF42C9" w:rsidRPr="006A79B9" w:rsidRDefault="00EF42C9" w:rsidP="0020578C">
      <w:pPr>
        <w:spacing w:line="480" w:lineRule="auto"/>
        <w:jc w:val="both"/>
        <w:rPr>
          <w:rFonts w:ascii="Garamond" w:hAnsi="Garamond" w:cstheme="minorHAnsi"/>
        </w:rPr>
      </w:pPr>
    </w:p>
    <w:p w14:paraId="6A76CC4A" w14:textId="5C8894A1" w:rsidR="0022081E" w:rsidRPr="006A79B9" w:rsidRDefault="0022081E" w:rsidP="0020578C">
      <w:pPr>
        <w:widowControl w:val="0"/>
        <w:spacing w:line="480" w:lineRule="auto"/>
        <w:jc w:val="both"/>
        <w:rPr>
          <w:rFonts w:ascii="Garamond" w:hAnsi="Garamond"/>
          <w:b/>
          <w:bCs/>
        </w:rPr>
      </w:pPr>
      <w:r w:rsidRPr="006A79B9">
        <w:rPr>
          <w:rFonts w:ascii="Garamond" w:hAnsi="Garamond"/>
          <w:b/>
          <w:bCs/>
        </w:rPr>
        <w:lastRenderedPageBreak/>
        <w:t>Event Study Estimator</w:t>
      </w:r>
    </w:p>
    <w:p w14:paraId="18B2653A" w14:textId="7B59A5E6" w:rsidR="0022081E" w:rsidRPr="006A79B9" w:rsidRDefault="0022081E" w:rsidP="0020578C">
      <w:pPr>
        <w:widowControl w:val="0"/>
        <w:spacing w:line="480" w:lineRule="auto"/>
        <w:jc w:val="both"/>
        <w:rPr>
          <w:rFonts w:ascii="Garamond" w:hAnsi="Garamond" w:cstheme="minorHAnsi"/>
        </w:rPr>
      </w:pPr>
      <w:r w:rsidRPr="006A79B9">
        <w:rPr>
          <w:rFonts w:ascii="Garamond" w:hAnsi="Garamond" w:cstheme="minorHAnsi"/>
        </w:rPr>
        <w:t xml:space="preserve">To implement our event study design, we </w:t>
      </w:r>
      <w:r w:rsidR="00486E22" w:rsidRPr="006A79B9">
        <w:rPr>
          <w:rFonts w:ascii="Garamond" w:hAnsi="Garamond" w:cstheme="minorHAnsi"/>
        </w:rPr>
        <w:t>similarly</w:t>
      </w:r>
      <w:r w:rsidRPr="006A79B9">
        <w:rPr>
          <w:rFonts w:ascii="Garamond" w:hAnsi="Garamond" w:cstheme="minorHAnsi"/>
        </w:rPr>
        <w:t xml:space="preserve"> use a two-way fixed effects estimator (TWFE)</w:t>
      </w:r>
      <w:r w:rsidR="00B50F6E" w:rsidRPr="006A79B9">
        <w:rPr>
          <w:rFonts w:ascii="Garamond" w:hAnsi="Garamond" w:cstheme="minorHAnsi"/>
        </w:rPr>
        <w:t>, again estimated with Poisson Pseudo</w:t>
      </w:r>
      <w:r w:rsidR="00056EF1">
        <w:rPr>
          <w:rFonts w:ascii="Garamond" w:hAnsi="Garamond" w:cstheme="minorHAnsi"/>
        </w:rPr>
        <w:t>-</w:t>
      </w:r>
      <w:r w:rsidR="00B50F6E" w:rsidRPr="006A79B9">
        <w:rPr>
          <w:rFonts w:ascii="Garamond" w:hAnsi="Garamond" w:cstheme="minorHAnsi"/>
        </w:rPr>
        <w:t>Maximum Likelihood</w:t>
      </w:r>
      <w:r w:rsidRPr="006A79B9">
        <w:rPr>
          <w:rFonts w:ascii="Garamond" w:hAnsi="Garamond" w:cstheme="minorHAnsi"/>
        </w:rPr>
        <w:t>. As noted, with this design we can examine how any treatment effect evolves with time and assess whether pre-treatment trends differ between treated and control states. Our model include</w:t>
      </w:r>
      <w:r w:rsidR="00486E22" w:rsidRPr="006A79B9">
        <w:rPr>
          <w:rFonts w:ascii="Garamond" w:hAnsi="Garamond" w:cstheme="minorHAnsi"/>
        </w:rPr>
        <w:t>s</w:t>
      </w:r>
      <w:r w:rsidRPr="006A79B9">
        <w:rPr>
          <w:rFonts w:ascii="Garamond" w:hAnsi="Garamond" w:cstheme="minorHAnsi"/>
        </w:rPr>
        <w:t xml:space="preserve"> leads-and-lags of the treatment variable, 12 months pre- and 12 months post treatment (where treatment occurs at </w:t>
      </w:r>
      <w:r w:rsidRPr="006A79B9">
        <w:rPr>
          <w:rFonts w:ascii="Garamond" w:hAnsi="Garamond" w:cstheme="minorHAnsi"/>
          <w:i/>
          <w:iCs/>
        </w:rPr>
        <w:t xml:space="preserve">t </w:t>
      </w:r>
      <w:r w:rsidRPr="006A79B9">
        <w:rPr>
          <w:rFonts w:ascii="Garamond" w:hAnsi="Garamond" w:cstheme="minorHAnsi"/>
        </w:rPr>
        <w:t>= 0), as follows:</w:t>
      </w:r>
    </w:p>
    <w:p w14:paraId="65859674" w14:textId="1FD92DD7" w:rsidR="00891FB0" w:rsidRPr="006A79B9" w:rsidRDefault="00891FB0" w:rsidP="0020578C">
      <w:pPr>
        <w:spacing w:line="480" w:lineRule="auto"/>
        <w:ind w:left="1440" w:firstLine="720"/>
        <w:jc w:val="both"/>
        <w:rPr>
          <w:rFonts w:ascii="Garamond" w:hAnsi="Garamond" w:cstheme="minorHAnsi"/>
        </w:rPr>
      </w:pPr>
      <m:oMath>
        <m:r>
          <m:rPr>
            <m:scr m:val="double-struck"/>
            <m:sty m:val="p"/>
          </m:rPr>
          <w:rPr>
            <w:rFonts w:ascii="Cambria Math" w:hAnsi="Cambria Math" w:cstheme="minorHAnsi"/>
          </w:rPr>
          <m:t>E</m:t>
        </m:r>
        <m:d>
          <m:dPr>
            <m:begChr m:val="["/>
            <m:endChr m:val="]"/>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st</m:t>
                </m:r>
              </m:sub>
            </m:sSub>
          </m:e>
        </m:d>
        <m:r>
          <w:rPr>
            <w:rFonts w:ascii="Cambria Math" w:hAnsi="Cambria Math" w:cstheme="minorHAnsi"/>
          </w:rPr>
          <m:t>=</m:t>
        </m:r>
        <m:r>
          <m:rPr>
            <m:sty m:val="p"/>
          </m:rPr>
          <w:rPr>
            <w:rFonts w:ascii="Cambria Math" w:hAnsi="Cambria Math" w:cstheme="minorHAnsi"/>
          </w:rPr>
          <m:t>exp⁡</m:t>
        </m:r>
        <m:d>
          <m:dPr>
            <m:ctrlPr>
              <w:rPr>
                <w:rFonts w:ascii="Cambria Math" w:hAnsi="Cambria Math" w:cstheme="minorHAnsi"/>
                <w:i/>
              </w:rPr>
            </m:ctrlPr>
          </m:dPr>
          <m:e>
            <m:r>
              <w:rPr>
                <w:rFonts w:ascii="Cambria Math" w:hAnsi="Cambria Math" w:cstheme="minorHAnsi"/>
              </w:rPr>
              <m:t>α+</m:t>
            </m:r>
            <m:nary>
              <m:naryPr>
                <m:chr m:val="∑"/>
                <m:limLoc m:val="undOvr"/>
                <m:ctrlPr>
                  <w:rPr>
                    <w:rFonts w:ascii="Cambria Math" w:hAnsi="Cambria Math" w:cstheme="minorHAnsi"/>
                    <w:i/>
                  </w:rPr>
                </m:ctrlPr>
              </m:naryPr>
              <m:sub>
                <m:r>
                  <w:rPr>
                    <w:rFonts w:ascii="Cambria Math" w:hAnsi="Cambria Math" w:cstheme="minorHAnsi"/>
                  </w:rPr>
                  <m:t>k= -12</m:t>
                </m:r>
              </m:sub>
              <m:sup>
                <m:r>
                  <w:rPr>
                    <w:rFonts w:ascii="Cambria Math" w:hAnsi="Cambria Math" w:cstheme="minorHAnsi"/>
                  </w:rPr>
                  <m:t>12</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m:t>
                        </m:r>
                      </m:sub>
                    </m:sSub>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st</m:t>
                        </m:r>
                      </m:sub>
                      <m:sup>
                        <m:r>
                          <w:rPr>
                            <w:rFonts w:ascii="Cambria Math" w:hAnsi="Cambria Math" w:cstheme="minorHAnsi"/>
                          </w:rPr>
                          <m:t>k</m:t>
                        </m:r>
                      </m:sup>
                    </m:sSubSup>
                  </m:e>
                </m:d>
              </m:e>
            </m:nary>
            <m:sSub>
              <m:sSubPr>
                <m:ctrlPr>
                  <w:rPr>
                    <w:rFonts w:ascii="Cambria Math" w:hAnsi="Cambria Math" w:cstheme="minorHAnsi"/>
                    <w:i/>
                  </w:rPr>
                </m:ctrlPr>
              </m:sSub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ϑ</m:t>
                    </m:r>
                  </m:e>
                  <m:sub>
                    <m:r>
                      <w:rPr>
                        <w:rFonts w:ascii="Cambria Math" w:hAnsi="Cambria Math" w:cstheme="minorHAnsi"/>
                      </w:rPr>
                      <m:t>s</m:t>
                    </m:r>
                  </m:sub>
                </m:sSub>
                <m:r>
                  <w:rPr>
                    <w:rFonts w:ascii="Cambria Math" w:hAnsi="Cambria Math" w:cstheme="minorHAnsi"/>
                  </w:rPr>
                  <m:t>+ γ</m:t>
                </m:r>
              </m:e>
              <m:sub>
                <m:r>
                  <w:rPr>
                    <w:rFonts w:ascii="Cambria Math" w:hAnsi="Cambria Math" w:cstheme="minorHAnsi"/>
                  </w:rPr>
                  <m:t>t</m:t>
                </m:r>
              </m:sub>
            </m:sSub>
          </m:e>
        </m:d>
      </m:oMath>
      <w:r w:rsidRPr="006A79B9">
        <w:rPr>
          <w:rFonts w:ascii="Garamond" w:eastAsiaTheme="minorEastAsia" w:hAnsi="Garamond" w:cstheme="minorHAnsi"/>
        </w:rPr>
        <w:tab/>
      </w:r>
      <w:r w:rsidRPr="006A79B9">
        <w:rPr>
          <w:rFonts w:ascii="Garamond" w:eastAsiaTheme="minorEastAsia" w:hAnsi="Garamond" w:cstheme="minorHAnsi"/>
        </w:rPr>
        <w:tab/>
      </w:r>
      <w:r w:rsidRPr="006A79B9">
        <w:rPr>
          <w:rFonts w:ascii="Garamond" w:eastAsiaTheme="minorEastAsia" w:hAnsi="Garamond" w:cstheme="minorHAnsi"/>
        </w:rPr>
        <w:tab/>
        <w:t>(2)</w:t>
      </w:r>
      <w:r w:rsidRPr="006A79B9">
        <w:rPr>
          <w:rFonts w:ascii="Garamond" w:eastAsiaTheme="minorEastAsia" w:hAnsi="Garamond" w:cstheme="minorHAnsi"/>
        </w:rPr>
        <w:tab/>
      </w:r>
    </w:p>
    <w:p w14:paraId="4399274D" w14:textId="77777777" w:rsidR="00891FB0" w:rsidRPr="006A79B9" w:rsidRDefault="00891FB0" w:rsidP="0020578C">
      <w:pPr>
        <w:spacing w:line="480" w:lineRule="auto"/>
        <w:ind w:left="1440" w:firstLine="720"/>
        <w:jc w:val="both"/>
        <w:rPr>
          <w:rFonts w:ascii="Garamond" w:hAnsi="Garamond" w:cstheme="minorHAnsi"/>
        </w:rPr>
      </w:pPr>
    </w:p>
    <w:p w14:paraId="5DDDFB87" w14:textId="21E52743" w:rsidR="00486E22" w:rsidRPr="006A79B9" w:rsidRDefault="0068648E" w:rsidP="0020578C">
      <w:pPr>
        <w:spacing w:line="480" w:lineRule="auto"/>
        <w:jc w:val="both"/>
        <w:rPr>
          <w:rFonts w:ascii="Garamond" w:hAnsi="Garamond" w:cstheme="minorHAnsi"/>
        </w:rPr>
      </w:pPr>
      <w:r w:rsidRPr="006A79B9">
        <w:rPr>
          <w:rFonts w:ascii="Garamond" w:hAnsi="Garamond" w:cstheme="minorHAnsi"/>
        </w:rPr>
        <w:t xml:space="preserve">where </w:t>
      </w:r>
      <w:r w:rsidR="00486E22" w:rsidRPr="006A79B9">
        <w:rPr>
          <w:rFonts w:ascii="Garamond" w:hAnsi="Garamond" w:cstheme="minorHAnsi"/>
          <w:i/>
          <w:iCs/>
        </w:rPr>
        <w:t>k</w:t>
      </w:r>
      <w:r w:rsidR="00486E22" w:rsidRPr="006A79B9">
        <w:rPr>
          <w:rFonts w:ascii="Garamond" w:hAnsi="Garamond" w:cstheme="minorHAnsi"/>
        </w:rPr>
        <w:t xml:space="preserve"> indexes the event time in months relative to enactment of the loophole rule change.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sk</m:t>
            </m:r>
          </m:sub>
        </m:sSub>
      </m:oMath>
      <w:r w:rsidR="00486E22" w:rsidRPr="006A79B9">
        <w:rPr>
          <w:rFonts w:ascii="Garamond" w:eastAsiaTheme="minorEastAsia" w:hAnsi="Garamond" w:cstheme="minorHAnsi"/>
        </w:rPr>
        <w:t xml:space="preserve"> = 0 in all time periods in control states, and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sk</m:t>
            </m:r>
          </m:sub>
        </m:sSub>
      </m:oMath>
      <w:r w:rsidR="00486E22" w:rsidRPr="006A79B9">
        <w:rPr>
          <w:rFonts w:ascii="Garamond" w:eastAsiaTheme="minorEastAsia" w:hAnsi="Garamond" w:cstheme="minorHAnsi"/>
        </w:rPr>
        <w:t xml:space="preserve"> = 1 for the </w:t>
      </w:r>
      <w:r w:rsidR="00486E22" w:rsidRPr="006A79B9">
        <w:rPr>
          <w:rFonts w:ascii="Garamond" w:eastAsiaTheme="minorEastAsia" w:hAnsi="Garamond" w:cstheme="minorHAnsi"/>
          <w:i/>
          <w:iCs/>
        </w:rPr>
        <w:t>k</w:t>
      </w:r>
      <w:r w:rsidR="00486E22" w:rsidRPr="006A79B9">
        <w:rPr>
          <w:rFonts w:ascii="Garamond" w:eastAsiaTheme="minorEastAsia" w:hAnsi="Garamond" w:cstheme="minorHAnsi"/>
          <w:i/>
          <w:iCs/>
          <w:vertAlign w:val="superscript"/>
        </w:rPr>
        <w:t>th</w:t>
      </w:r>
      <w:r w:rsidR="00486E22" w:rsidRPr="006A79B9">
        <w:rPr>
          <w:rFonts w:ascii="Garamond" w:eastAsiaTheme="minorEastAsia" w:hAnsi="Garamond" w:cstheme="minorHAnsi"/>
        </w:rPr>
        <w:t xml:space="preserve"> month relative to rule change enactment in treated states, and 0 otherwise. Accordingly,</w:t>
      </w:r>
      <w:r w:rsidR="00C101CE">
        <w:rPr>
          <w:rFonts w:ascii="Garamond" w:eastAsiaTheme="minorEastAsia" w:hAnsi="Garamond" w:cstheme="minorHAnsi"/>
        </w:rPr>
        <w:t xml:space="preserve"> in the pre-intervention period</w:t>
      </w:r>
      <w:r w:rsidR="00486E22" w:rsidRPr="006A79B9">
        <w:rPr>
          <w:rFonts w:ascii="Garamond" w:eastAsiaTheme="minorEastAsia" w:hAnsi="Garamond" w:cstheme="minorHAnsi"/>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k</m:t>
            </m:r>
          </m:sub>
        </m:sSub>
      </m:oMath>
      <w:r w:rsidR="00486E22" w:rsidRPr="006A79B9">
        <w:rPr>
          <w:rFonts w:ascii="Garamond" w:eastAsiaTheme="minorEastAsia" w:hAnsi="Garamond" w:cstheme="minorHAnsi"/>
        </w:rPr>
        <w:t xml:space="preserve"> is interpreted</w:t>
      </w:r>
      <w:r w:rsidR="00C101CE">
        <w:rPr>
          <w:rFonts w:ascii="Garamond" w:eastAsiaTheme="minorEastAsia" w:hAnsi="Garamond" w:cstheme="minorHAnsi"/>
        </w:rPr>
        <w:t xml:space="preserve">, </w:t>
      </w:r>
      <w:r w:rsidR="00C101CE" w:rsidRPr="006A79B9">
        <w:rPr>
          <w:rFonts w:ascii="Garamond" w:hAnsi="Garamond" w:cstheme="minorHAnsi"/>
        </w:rPr>
        <w:t>for the</w:t>
      </w:r>
      <w:r w:rsidR="00C101CE" w:rsidRPr="006A79B9">
        <w:rPr>
          <w:rFonts w:ascii="Garamond" w:eastAsiaTheme="minorEastAsia" w:hAnsi="Garamond" w:cstheme="minorHAnsi"/>
          <w:i/>
          <w:iCs/>
        </w:rPr>
        <w:t xml:space="preserve"> k</w:t>
      </w:r>
      <w:r w:rsidR="00C101CE" w:rsidRPr="006A79B9">
        <w:rPr>
          <w:rFonts w:ascii="Garamond" w:eastAsiaTheme="minorEastAsia" w:hAnsi="Garamond" w:cstheme="minorHAnsi"/>
          <w:i/>
          <w:iCs/>
          <w:vertAlign w:val="superscript"/>
        </w:rPr>
        <w:t>th</w:t>
      </w:r>
      <w:r w:rsidR="00C101CE" w:rsidRPr="006A79B9">
        <w:rPr>
          <w:rFonts w:ascii="Garamond" w:hAnsi="Garamond" w:cstheme="minorHAnsi"/>
        </w:rPr>
        <w:t xml:space="preserve"> month</w:t>
      </w:r>
      <w:r w:rsidR="00C101CE">
        <w:rPr>
          <w:rFonts w:ascii="Garamond" w:eastAsiaTheme="minorEastAsia" w:hAnsi="Garamond" w:cstheme="minorHAnsi"/>
        </w:rPr>
        <w:t>,</w:t>
      </w:r>
      <w:r w:rsidR="00486E22" w:rsidRPr="006A79B9">
        <w:rPr>
          <w:rFonts w:ascii="Garamond" w:eastAsiaTheme="minorEastAsia" w:hAnsi="Garamond" w:cstheme="minorHAnsi"/>
        </w:rPr>
        <w:t xml:space="preserve"> as </w:t>
      </w:r>
      <w:r w:rsidR="00C101CE">
        <w:rPr>
          <w:rFonts w:ascii="Garamond" w:eastAsiaTheme="minorEastAsia" w:hAnsi="Garamond" w:cstheme="minorHAnsi"/>
        </w:rPr>
        <w:t xml:space="preserve">the average difference in the outcome between the control and treated states, and in the post-intervention period it is interpreted as </w:t>
      </w:r>
      <w:r w:rsidR="00486E22" w:rsidRPr="006A79B9">
        <w:rPr>
          <w:rFonts w:ascii="Garamond" w:eastAsiaTheme="minorEastAsia" w:hAnsi="Garamond" w:cstheme="minorHAnsi"/>
        </w:rPr>
        <w:t xml:space="preserve">the </w:t>
      </w:r>
      <w:r w:rsidR="00486E22" w:rsidRPr="006A79B9">
        <w:rPr>
          <w:rFonts w:ascii="Garamond" w:hAnsi="Garamond" w:cstheme="minorHAnsi"/>
        </w:rPr>
        <w:t>average treatment effect for the</w:t>
      </w:r>
      <w:r w:rsidR="00486E22" w:rsidRPr="006A79B9">
        <w:rPr>
          <w:rFonts w:ascii="Garamond" w:eastAsiaTheme="minorEastAsia" w:hAnsi="Garamond" w:cstheme="minorHAnsi"/>
          <w:i/>
          <w:iCs/>
        </w:rPr>
        <w:t xml:space="preserve"> k</w:t>
      </w:r>
      <w:r w:rsidR="00486E22" w:rsidRPr="006A79B9">
        <w:rPr>
          <w:rFonts w:ascii="Garamond" w:eastAsiaTheme="minorEastAsia" w:hAnsi="Garamond" w:cstheme="minorHAnsi"/>
          <w:i/>
          <w:iCs/>
          <w:vertAlign w:val="superscript"/>
        </w:rPr>
        <w:t>th</w:t>
      </w:r>
      <w:r w:rsidR="00486E22" w:rsidRPr="006A79B9">
        <w:rPr>
          <w:rFonts w:ascii="Garamond" w:hAnsi="Garamond" w:cstheme="minorHAnsi"/>
        </w:rPr>
        <w:t xml:space="preserve"> month after the loophole rule change. All coefficient estimates will be reported relative to the difference between treated and control states in the month before the rule change was enacted</w:t>
      </w:r>
      <w:r w:rsidR="00A86E18">
        <w:rPr>
          <w:rFonts w:ascii="Garamond" w:hAnsi="Garamond" w:cstheme="minorHAnsi"/>
        </w:rPr>
        <w:t xml:space="preserve"> (i.e., April 2024)</w:t>
      </w:r>
      <w:r w:rsidR="00486E22" w:rsidRPr="006A79B9">
        <w:rPr>
          <w:rFonts w:ascii="Garamond" w:hAnsi="Garamond" w:cstheme="minorHAnsi"/>
        </w:rPr>
        <w:t>. We cluster standard errors at the state-level.</w:t>
      </w:r>
    </w:p>
    <w:p w14:paraId="0DF09CF0" w14:textId="2D6D2219" w:rsidR="00A94D9C" w:rsidRPr="006A79B9" w:rsidRDefault="00A94D9C" w:rsidP="0020578C">
      <w:pPr>
        <w:spacing w:line="480" w:lineRule="auto"/>
        <w:jc w:val="both"/>
        <w:rPr>
          <w:rFonts w:ascii="Garamond" w:hAnsi="Garamond" w:cstheme="minorHAnsi"/>
        </w:rPr>
      </w:pPr>
    </w:p>
    <w:p w14:paraId="59BC38E1" w14:textId="35524759" w:rsidR="000E65E2" w:rsidRPr="006A79B9" w:rsidRDefault="000E65E2" w:rsidP="0020578C">
      <w:pPr>
        <w:widowControl w:val="0"/>
        <w:spacing w:line="480" w:lineRule="auto"/>
        <w:jc w:val="both"/>
        <w:rPr>
          <w:rFonts w:ascii="Garamond" w:hAnsi="Garamond"/>
          <w:b/>
          <w:bCs/>
        </w:rPr>
      </w:pPr>
      <w:r w:rsidRPr="006A79B9">
        <w:rPr>
          <w:rFonts w:ascii="Garamond" w:hAnsi="Garamond"/>
          <w:b/>
          <w:bCs/>
        </w:rPr>
        <w:t>Sensitivity Test</w:t>
      </w:r>
    </w:p>
    <w:p w14:paraId="29E142A7" w14:textId="1F0474E1" w:rsidR="001D3E00" w:rsidRPr="006A79B9" w:rsidRDefault="001D3E00" w:rsidP="0020578C">
      <w:pPr>
        <w:widowControl w:val="0"/>
        <w:spacing w:line="480" w:lineRule="auto"/>
        <w:jc w:val="both"/>
        <w:rPr>
          <w:rFonts w:ascii="Garamond" w:hAnsi="Garamond"/>
        </w:rPr>
      </w:pPr>
      <w:r w:rsidRPr="006A79B9">
        <w:rPr>
          <w:rFonts w:ascii="Garamond" w:hAnsi="Garamond"/>
        </w:rPr>
        <w:t>To assess the sensitivity of inferences to our estimation strategy</w:t>
      </w:r>
      <w:r w:rsidR="00AD735F">
        <w:rPr>
          <w:rFonts w:ascii="Garamond" w:hAnsi="Garamond"/>
        </w:rPr>
        <w:t xml:space="preserve"> and design decisions</w:t>
      </w:r>
      <w:r w:rsidRPr="006A79B9">
        <w:rPr>
          <w:rFonts w:ascii="Garamond" w:hAnsi="Garamond"/>
        </w:rPr>
        <w:t xml:space="preserve">, </w:t>
      </w:r>
      <w:r w:rsidR="00AD735F">
        <w:rPr>
          <w:rFonts w:ascii="Garamond" w:hAnsi="Garamond"/>
        </w:rPr>
        <w:t xml:space="preserve">we undertake several robustness checks. First, whereas our main analyses use a </w:t>
      </w:r>
      <w:r w:rsidR="00AD735F" w:rsidRPr="006A79B9">
        <w:rPr>
          <w:rFonts w:ascii="Garamond" w:hAnsi="Garamond" w:cstheme="minorHAnsi"/>
        </w:rPr>
        <w:t>Poisson Pseudo</w:t>
      </w:r>
      <w:r w:rsidR="00AD735F">
        <w:rPr>
          <w:rFonts w:ascii="Garamond" w:hAnsi="Garamond" w:cstheme="minorHAnsi"/>
        </w:rPr>
        <w:t>-</w:t>
      </w:r>
      <w:r w:rsidR="00AD735F" w:rsidRPr="006A79B9">
        <w:rPr>
          <w:rFonts w:ascii="Garamond" w:hAnsi="Garamond" w:cstheme="minorHAnsi"/>
        </w:rPr>
        <w:t>Maximum Likelihood model</w:t>
      </w:r>
      <w:r w:rsidR="00AD735F">
        <w:rPr>
          <w:rFonts w:ascii="Garamond" w:hAnsi="Garamond" w:cstheme="minorHAnsi"/>
        </w:rPr>
        <w:t>, for robustness</w:t>
      </w:r>
      <w:r w:rsidR="00AD735F" w:rsidRPr="006A79B9">
        <w:rPr>
          <w:rFonts w:ascii="Garamond" w:hAnsi="Garamond"/>
        </w:rPr>
        <w:t xml:space="preserve"> </w:t>
      </w:r>
      <w:r w:rsidRPr="006A79B9">
        <w:rPr>
          <w:rFonts w:ascii="Garamond" w:hAnsi="Garamond"/>
        </w:rPr>
        <w:t>we estimate linear model</w:t>
      </w:r>
      <w:r w:rsidR="00392853" w:rsidRPr="006A79B9">
        <w:rPr>
          <w:rFonts w:ascii="Garamond" w:hAnsi="Garamond"/>
        </w:rPr>
        <w:t>s</w:t>
      </w:r>
      <w:r w:rsidRPr="006A79B9">
        <w:rPr>
          <w:rFonts w:ascii="Garamond" w:hAnsi="Garamond"/>
        </w:rPr>
        <w:t xml:space="preserve"> using </w:t>
      </w:r>
      <w:r w:rsidR="0043775F">
        <w:rPr>
          <w:rFonts w:ascii="Garamond" w:hAnsi="Garamond"/>
        </w:rPr>
        <w:t>an</w:t>
      </w:r>
      <w:r w:rsidRPr="006A79B9">
        <w:rPr>
          <w:rFonts w:ascii="Garamond" w:hAnsi="Garamond"/>
        </w:rPr>
        <w:t xml:space="preserve"> inverse hyperbolic sine </w:t>
      </w:r>
      <w:r w:rsidR="004C35F4" w:rsidRPr="006A79B9">
        <w:rPr>
          <w:rFonts w:ascii="Garamond" w:hAnsi="Garamond"/>
        </w:rPr>
        <w:t xml:space="preserve">(IHS) </w:t>
      </w:r>
      <w:r w:rsidRPr="006A79B9">
        <w:rPr>
          <w:rFonts w:ascii="Garamond" w:hAnsi="Garamond"/>
        </w:rPr>
        <w:t>transformation of</w:t>
      </w:r>
      <w:r w:rsidR="0068648E">
        <w:rPr>
          <w:rFonts w:ascii="Garamond" w:hAnsi="Garamond"/>
        </w:rPr>
        <w:t xml:space="preserve"> the</w:t>
      </w:r>
      <w:r w:rsidRPr="006A79B9">
        <w:rPr>
          <w:rFonts w:ascii="Garamond" w:hAnsi="Garamond"/>
        </w:rPr>
        <w:t xml:space="preserve"> outcome</w:t>
      </w:r>
      <w:r w:rsidR="004C35F4" w:rsidRPr="006A79B9">
        <w:rPr>
          <w:rFonts w:ascii="Garamond" w:hAnsi="Garamond"/>
        </w:rPr>
        <w:t xml:space="preserve">: </w:t>
      </w:r>
      <m:oMath>
        <m:r>
          <m:rPr>
            <m:sty m:val="p"/>
          </m:rPr>
          <w:rPr>
            <w:rFonts w:ascii="Cambria Math" w:hAnsi="Cambria Math"/>
          </w:rPr>
          <m:t>asinh</m:t>
        </m:r>
        <m:d>
          <m:dPr>
            <m:ctrlPr>
              <w:rPr>
                <w:rFonts w:ascii="Cambria Math" w:hAnsi="Cambria Math"/>
                <w:i/>
              </w:rPr>
            </m:ctrlPr>
          </m:dPr>
          <m:e>
            <m:r>
              <w:rPr>
                <w:rFonts w:ascii="Cambria Math" w:hAnsi="Cambria Math"/>
              </w:rPr>
              <m:t>y</m:t>
            </m:r>
          </m:e>
        </m:d>
        <m:r>
          <w:rPr>
            <w:rFonts w:ascii="Cambria Math" w:hAnsi="Cambria Math"/>
          </w:rPr>
          <m:t>=ln</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rad>
          </m:e>
        </m:d>
      </m:oMath>
      <w:r w:rsidRPr="006A79B9">
        <w:rPr>
          <w:rFonts w:ascii="Garamond" w:hAnsi="Garamond"/>
        </w:rPr>
        <w:t xml:space="preserve">. In contrast to a log-linear specification, an </w:t>
      </w:r>
      <w:r w:rsidR="00037633" w:rsidRPr="006A79B9">
        <w:rPr>
          <w:rFonts w:ascii="Garamond" w:hAnsi="Garamond"/>
        </w:rPr>
        <w:t>IHS</w:t>
      </w:r>
      <w:r w:rsidRPr="006A79B9">
        <w:rPr>
          <w:rFonts w:ascii="Garamond" w:hAnsi="Garamond"/>
        </w:rPr>
        <w:t xml:space="preserve"> transformation allows us to retain zero values with </w:t>
      </w:r>
      <w:r w:rsidR="0068648E">
        <w:rPr>
          <w:rFonts w:ascii="Garamond" w:hAnsi="Garamond"/>
        </w:rPr>
        <w:t>the</w:t>
      </w:r>
      <w:r w:rsidRPr="006A79B9">
        <w:rPr>
          <w:rFonts w:ascii="Garamond" w:hAnsi="Garamond"/>
        </w:rPr>
        <w:t xml:space="preserve"> dependent variable. </w:t>
      </w:r>
    </w:p>
    <w:p w14:paraId="3565DDEC" w14:textId="24D5CB2D" w:rsidR="005D6C6A" w:rsidRPr="006A79B9" w:rsidRDefault="00AD735F" w:rsidP="006C01A5">
      <w:pPr>
        <w:widowControl w:val="0"/>
        <w:spacing w:line="480" w:lineRule="auto"/>
        <w:ind w:firstLine="720"/>
        <w:jc w:val="both"/>
        <w:rPr>
          <w:rFonts w:ascii="Garamond" w:hAnsi="Garamond"/>
        </w:rPr>
      </w:pPr>
      <w:r>
        <w:rPr>
          <w:rFonts w:ascii="Garamond" w:hAnsi="Garamond"/>
        </w:rPr>
        <w:lastRenderedPageBreak/>
        <w:t>Second, an</w:t>
      </w:r>
      <w:r w:rsidR="004C35F4" w:rsidRPr="006A79B9">
        <w:rPr>
          <w:rFonts w:ascii="Garamond" w:hAnsi="Garamond"/>
        </w:rPr>
        <w:t xml:space="preserve"> advantage of a linear model is that we can draw upon available tools to assess </w:t>
      </w:r>
      <w:r w:rsidR="0099474C" w:rsidRPr="006A79B9">
        <w:rPr>
          <w:rFonts w:ascii="Garamond" w:hAnsi="Garamond"/>
        </w:rPr>
        <w:t>the sensitivity of our results to possible violations of the parallel trends assumption</w:t>
      </w:r>
      <w:r w:rsidR="004C35F4" w:rsidRPr="006A79B9">
        <w:rPr>
          <w:rFonts w:ascii="Garamond" w:hAnsi="Garamond"/>
        </w:rPr>
        <w:t>.</w:t>
      </w:r>
      <w:r w:rsidR="0099474C" w:rsidRPr="006A79B9">
        <w:rPr>
          <w:rFonts w:ascii="Garamond" w:hAnsi="Garamond"/>
        </w:rPr>
        <w:t xml:space="preserve"> </w:t>
      </w:r>
      <w:r w:rsidR="00392853" w:rsidRPr="006A79B9">
        <w:rPr>
          <w:rFonts w:ascii="Garamond" w:hAnsi="Garamond"/>
        </w:rPr>
        <w:t>One such tool is Rambachan and Roth</w:t>
      </w:r>
      <w:r w:rsidR="00037633" w:rsidRPr="006A79B9">
        <w:rPr>
          <w:rFonts w:ascii="Garamond" w:hAnsi="Garamond"/>
        </w:rPr>
        <w:t>’s</w:t>
      </w:r>
      <w:r w:rsidR="00392853" w:rsidRPr="006A79B9">
        <w:rPr>
          <w:rFonts w:ascii="Garamond" w:hAnsi="Garamond"/>
        </w:rPr>
        <w:t xml:space="preserve"> (2023) </w:t>
      </w:r>
      <w:r w:rsidR="00392853" w:rsidRPr="006A79B9">
        <w:rPr>
          <w:rFonts w:ascii="Garamond" w:hAnsi="Garamond"/>
          <w:i/>
          <w:iCs/>
        </w:rPr>
        <w:t>HonestDiD</w:t>
      </w:r>
      <w:r w:rsidR="00392853" w:rsidRPr="006A79B9">
        <w:rPr>
          <w:rFonts w:ascii="Garamond" w:hAnsi="Garamond"/>
        </w:rPr>
        <w:t xml:space="preserve"> sensitivity test. </w:t>
      </w:r>
      <w:r w:rsidR="005A6561" w:rsidRPr="006A79B9">
        <w:rPr>
          <w:rFonts w:ascii="Garamond" w:hAnsi="Garamond"/>
        </w:rPr>
        <w:t>The idea be</w:t>
      </w:r>
      <w:r w:rsidR="007D3081">
        <w:rPr>
          <w:rFonts w:ascii="Garamond" w:hAnsi="Garamond"/>
        </w:rPr>
        <w:t>hind this</w:t>
      </w:r>
      <w:r w:rsidR="005A6561" w:rsidRPr="006A79B9">
        <w:rPr>
          <w:rFonts w:ascii="Garamond" w:hAnsi="Garamond"/>
        </w:rPr>
        <w:t xml:space="preserve"> test is that if researcher</w:t>
      </w:r>
      <w:r w:rsidR="00037633" w:rsidRPr="006A79B9">
        <w:rPr>
          <w:rFonts w:ascii="Garamond" w:hAnsi="Garamond"/>
        </w:rPr>
        <w:t>s are</w:t>
      </w:r>
      <w:r w:rsidR="005A6561" w:rsidRPr="006A79B9">
        <w:rPr>
          <w:rFonts w:ascii="Garamond" w:hAnsi="Garamond"/>
        </w:rPr>
        <w:t xml:space="preserve"> faced with </w:t>
      </w:r>
      <w:r w:rsidR="0068648E">
        <w:rPr>
          <w:rFonts w:ascii="Garamond" w:hAnsi="Garamond"/>
        </w:rPr>
        <w:t xml:space="preserve">potential </w:t>
      </w:r>
      <w:r w:rsidR="005A6561" w:rsidRPr="006A79B9">
        <w:rPr>
          <w:rFonts w:ascii="Garamond" w:hAnsi="Garamond"/>
        </w:rPr>
        <w:t xml:space="preserve">violations of parallel trends in a pre-intervention period, a sensitivity analysis </w:t>
      </w:r>
      <w:r w:rsidR="0068648E">
        <w:rPr>
          <w:rFonts w:ascii="Garamond" w:hAnsi="Garamond"/>
        </w:rPr>
        <w:t xml:space="preserve">can help </w:t>
      </w:r>
      <w:r w:rsidR="005A6561" w:rsidRPr="006A79B9">
        <w:rPr>
          <w:rFonts w:ascii="Garamond" w:hAnsi="Garamond"/>
        </w:rPr>
        <w:t xml:space="preserve">determine if core inferences are robust to violations of parallel trends of a similar magnitude in the post-intervention period. </w:t>
      </w:r>
      <w:r w:rsidR="007B25D1" w:rsidRPr="006A79B9">
        <w:rPr>
          <w:rFonts w:ascii="Garamond" w:hAnsi="Garamond"/>
        </w:rPr>
        <w:t>It may be the case that a</w:t>
      </w:r>
      <w:r w:rsidR="00BF5759" w:rsidRPr="006A79B9">
        <w:rPr>
          <w:rFonts w:ascii="Garamond" w:hAnsi="Garamond"/>
        </w:rPr>
        <w:t xml:space="preserve"> significant effect of the loophole rule change on the outcomes holds if the parallel trends assumption is exactly met but is not robust to slight violations of parallel trends. Rambachan and Roth’s (20</w:t>
      </w:r>
      <w:r w:rsidR="0068648E">
        <w:rPr>
          <w:rFonts w:ascii="Garamond" w:hAnsi="Garamond"/>
        </w:rPr>
        <w:t>2</w:t>
      </w:r>
      <w:r w:rsidR="00BF5759" w:rsidRPr="006A79B9">
        <w:rPr>
          <w:rFonts w:ascii="Garamond" w:hAnsi="Garamond"/>
        </w:rPr>
        <w:t>3) approach</w:t>
      </w:r>
      <w:r w:rsidR="00392853" w:rsidRPr="006A79B9">
        <w:rPr>
          <w:rFonts w:ascii="Garamond" w:hAnsi="Garamond"/>
        </w:rPr>
        <w:t xml:space="preserve">, implemented with the </w:t>
      </w:r>
      <w:r w:rsidR="00392853" w:rsidRPr="001B7355">
        <w:rPr>
          <w:rFonts w:ascii="Courier New" w:hAnsi="Courier New" w:cs="Courier New"/>
          <w:sz w:val="22"/>
          <w:szCs w:val="22"/>
        </w:rPr>
        <w:t>honestdid</w:t>
      </w:r>
      <w:r w:rsidR="00392853" w:rsidRPr="006A79B9">
        <w:rPr>
          <w:rFonts w:ascii="Garamond" w:hAnsi="Garamond"/>
        </w:rPr>
        <w:t xml:space="preserve"> program in Stata,</w:t>
      </w:r>
      <w:r w:rsidR="00BF5759" w:rsidRPr="006A79B9">
        <w:rPr>
          <w:rFonts w:ascii="Garamond" w:hAnsi="Garamond"/>
        </w:rPr>
        <w:t xml:space="preserve"> allows us to assess whether our core inferences hold under increasingly larger violations of the parallel trends assumption.</w:t>
      </w:r>
    </w:p>
    <w:p w14:paraId="16C4E3AF" w14:textId="0D41993B" w:rsidR="00340DD0" w:rsidRDefault="00AD735F">
      <w:pPr>
        <w:spacing w:line="480" w:lineRule="auto"/>
        <w:ind w:firstLine="720"/>
        <w:jc w:val="both"/>
        <w:rPr>
          <w:rFonts w:ascii="Garamond" w:hAnsi="Garamond"/>
        </w:rPr>
      </w:pPr>
      <w:r>
        <w:rPr>
          <w:rFonts w:ascii="Garamond" w:hAnsi="Garamond"/>
        </w:rPr>
        <w:t xml:space="preserve">Third, whereas our main analyses estimate the treatment effect on the treated </w:t>
      </w:r>
      <w:r w:rsidR="00932E4C">
        <w:rPr>
          <w:rFonts w:ascii="Garamond" w:hAnsi="Garamond"/>
        </w:rPr>
        <w:t xml:space="preserve">(TOT) </w:t>
      </w:r>
      <w:r>
        <w:rPr>
          <w:rFonts w:ascii="Garamond" w:hAnsi="Garamond"/>
        </w:rPr>
        <w:t xml:space="preserve">and exclude the four states receiving </w:t>
      </w:r>
      <w:r w:rsidR="00A34C48">
        <w:rPr>
          <w:rFonts w:ascii="Garamond" w:hAnsi="Garamond"/>
        </w:rPr>
        <w:t xml:space="preserve">preliminary </w:t>
      </w:r>
      <w:r>
        <w:rPr>
          <w:rFonts w:ascii="Garamond" w:hAnsi="Garamond"/>
        </w:rPr>
        <w:t xml:space="preserve">injunctive relief from the rule change from the analysis (i.e., </w:t>
      </w:r>
      <w:r w:rsidRPr="006A79B9">
        <w:rPr>
          <w:rFonts w:ascii="Garamond" w:hAnsi="Garamond"/>
        </w:rPr>
        <w:t>Texas, Louisiana, Mississippi, and Utah</w:t>
      </w:r>
      <w:r>
        <w:rPr>
          <w:rFonts w:ascii="Garamond" w:hAnsi="Garamond"/>
        </w:rPr>
        <w:t>), for robustness we will include the four states in an analysis of the intent to treat</w:t>
      </w:r>
      <w:r w:rsidR="00932E4C">
        <w:rPr>
          <w:rFonts w:ascii="Garamond" w:hAnsi="Garamond"/>
        </w:rPr>
        <w:t xml:space="preserve"> (ITT)</w:t>
      </w:r>
      <w:r>
        <w:rPr>
          <w:rFonts w:ascii="Garamond" w:hAnsi="Garamond"/>
        </w:rPr>
        <w:t xml:space="preserve">. </w:t>
      </w:r>
      <w:r w:rsidR="006C01A5">
        <w:rPr>
          <w:rFonts w:ascii="Garamond" w:hAnsi="Garamond"/>
        </w:rPr>
        <w:t xml:space="preserve">Essentially, we include all 51 states </w:t>
      </w:r>
      <w:r w:rsidR="00B76184">
        <w:rPr>
          <w:rFonts w:ascii="Garamond" w:hAnsi="Garamond"/>
        </w:rPr>
        <w:t>and</w:t>
      </w:r>
      <w:r w:rsidR="006C01A5">
        <w:rPr>
          <w:rFonts w:ascii="Garamond" w:hAnsi="Garamond"/>
        </w:rPr>
        <w:t xml:space="preserve"> DC in the analysis, with the intervention being the treatment assigned rather than the treatment received. </w:t>
      </w:r>
      <w:r>
        <w:rPr>
          <w:rFonts w:ascii="Garamond" w:hAnsi="Garamond"/>
        </w:rPr>
        <w:t>Such an analysis will give us some understanding of whether our inferences are robust to our decisions about how to handle these four states.</w:t>
      </w:r>
    </w:p>
    <w:p w14:paraId="718F998F" w14:textId="4FDA5E6C" w:rsidR="00AD735F" w:rsidRPr="006A79B9" w:rsidRDefault="00340DD0" w:rsidP="00340DD0">
      <w:pPr>
        <w:spacing w:line="480" w:lineRule="auto"/>
        <w:ind w:firstLine="720"/>
        <w:jc w:val="both"/>
        <w:rPr>
          <w:rFonts w:ascii="Garamond" w:hAnsi="Garamond"/>
        </w:rPr>
      </w:pPr>
      <w:r>
        <w:rPr>
          <w:rFonts w:ascii="Garamond" w:hAnsi="Garamond"/>
        </w:rPr>
        <w:t>Fourth, thus far we have specified the treatment date to be the enact</w:t>
      </w:r>
      <w:r w:rsidR="006C01A5">
        <w:rPr>
          <w:rFonts w:ascii="Garamond" w:hAnsi="Garamond"/>
        </w:rPr>
        <w:t>ment</w:t>
      </w:r>
      <w:r>
        <w:rPr>
          <w:rFonts w:ascii="Garamond" w:hAnsi="Garamond"/>
        </w:rPr>
        <w:t xml:space="preserve"> of the rule change on May 20, 2024, with a design focused on examining twelve months of outcomes on either </w:t>
      </w:r>
      <w:r w:rsidR="006C01A5">
        <w:rPr>
          <w:rFonts w:ascii="Garamond" w:hAnsi="Garamond"/>
        </w:rPr>
        <w:t>side</w:t>
      </w:r>
      <w:r>
        <w:rPr>
          <w:rFonts w:ascii="Garamond" w:hAnsi="Garamond"/>
        </w:rPr>
        <w:t xml:space="preserve"> of the treatment date. Nevertheless, recall that the initial action on the attempt to close the gun</w:t>
      </w:r>
      <w:r w:rsidR="006C01A5">
        <w:rPr>
          <w:rFonts w:ascii="Garamond" w:hAnsi="Garamond"/>
        </w:rPr>
        <w:t xml:space="preserve"> </w:t>
      </w:r>
      <w:r>
        <w:rPr>
          <w:rFonts w:ascii="Garamond" w:hAnsi="Garamond"/>
        </w:rPr>
        <w:t xml:space="preserve">show loophole was the passage of the Bipartisan Safer Communities Act on June 25, 2022. In a final robustness test, when extend the </w:t>
      </w:r>
      <w:proofErr w:type="gramStart"/>
      <w:r>
        <w:rPr>
          <w:rFonts w:ascii="Garamond" w:hAnsi="Garamond"/>
        </w:rPr>
        <w:t>time period</w:t>
      </w:r>
      <w:proofErr w:type="gramEnd"/>
      <w:r>
        <w:rPr>
          <w:rFonts w:ascii="Garamond" w:hAnsi="Garamond"/>
        </w:rPr>
        <w:t xml:space="preserve"> under investigation to include twelve months prior to the passage of the Act (i.e., </w:t>
      </w:r>
      <w:r w:rsidR="006A7E07">
        <w:rPr>
          <w:rFonts w:ascii="Garamond" w:hAnsi="Garamond"/>
        </w:rPr>
        <w:t>June 2021 to May 2025)</w:t>
      </w:r>
      <w:r w:rsidR="00FC1B43">
        <w:rPr>
          <w:rFonts w:ascii="Garamond" w:hAnsi="Garamond"/>
        </w:rPr>
        <w:t xml:space="preserve">, thereby enabling us a broader view of any </w:t>
      </w:r>
      <w:r w:rsidR="00FC1B43">
        <w:rPr>
          <w:rFonts w:ascii="Garamond" w:hAnsi="Garamond"/>
        </w:rPr>
        <w:lastRenderedPageBreak/>
        <w:t xml:space="preserve">anticipatory changes occurring between when the Act was passed </w:t>
      </w:r>
      <w:r w:rsidR="00E22B4F">
        <w:rPr>
          <w:rFonts w:ascii="Garamond" w:hAnsi="Garamond"/>
        </w:rPr>
        <w:t xml:space="preserve">in 2022 </w:t>
      </w:r>
      <w:r w:rsidR="00FC1B43">
        <w:rPr>
          <w:rFonts w:ascii="Garamond" w:hAnsi="Garamond"/>
        </w:rPr>
        <w:t>and when the corresponding rule change took effect almost two years later.</w:t>
      </w:r>
      <w:r>
        <w:rPr>
          <w:rFonts w:ascii="Garamond" w:hAnsi="Garamond"/>
        </w:rPr>
        <w:t xml:space="preserve"> </w:t>
      </w:r>
      <w:r w:rsidR="00AD735F">
        <w:rPr>
          <w:rFonts w:ascii="Garamond" w:hAnsi="Garamond"/>
        </w:rPr>
        <w:t xml:space="preserve">  </w:t>
      </w:r>
    </w:p>
    <w:p w14:paraId="77E9D829" w14:textId="77777777" w:rsidR="0099474C" w:rsidRPr="006A79B9" w:rsidRDefault="0099474C" w:rsidP="006C01A5">
      <w:pPr>
        <w:spacing w:line="480" w:lineRule="auto"/>
        <w:jc w:val="both"/>
        <w:rPr>
          <w:rFonts w:ascii="Garamond" w:hAnsi="Garamond"/>
        </w:rPr>
      </w:pPr>
    </w:p>
    <w:p w14:paraId="71DF146A" w14:textId="3DDECBB0" w:rsidR="0057567E" w:rsidRPr="006A79B9" w:rsidRDefault="00647295" w:rsidP="006C01A5">
      <w:pPr>
        <w:spacing w:line="480" w:lineRule="auto"/>
        <w:jc w:val="both"/>
        <w:rPr>
          <w:rFonts w:ascii="Garamond" w:hAnsi="Garamond" w:cstheme="minorHAnsi"/>
          <w:b/>
          <w:bCs/>
          <w:smallCaps/>
        </w:rPr>
      </w:pPr>
      <w:r w:rsidRPr="006A79B9">
        <w:rPr>
          <w:rFonts w:ascii="Garamond" w:hAnsi="Garamond" w:cstheme="minorHAnsi"/>
          <w:b/>
          <w:bCs/>
          <w:smallCaps/>
        </w:rPr>
        <w:t>RESULTS</w:t>
      </w:r>
    </w:p>
    <w:p w14:paraId="5A1AD51C" w14:textId="60A13A3A" w:rsidR="006158DF" w:rsidRPr="006A79B9" w:rsidRDefault="006158DF" w:rsidP="006C01A5">
      <w:pPr>
        <w:spacing w:line="480" w:lineRule="auto"/>
        <w:jc w:val="both"/>
        <w:rPr>
          <w:rFonts w:ascii="Garamond" w:hAnsi="Garamond" w:cstheme="minorHAnsi"/>
        </w:rPr>
      </w:pPr>
      <w:r w:rsidRPr="006A79B9">
        <w:rPr>
          <w:rFonts w:ascii="Garamond" w:hAnsi="Garamond" w:cstheme="minorHAnsi"/>
        </w:rPr>
        <w:t xml:space="preserve">We proceed first with the DiD results to show the average treatment effect on the treated states. We then proceed to the event study to </w:t>
      </w:r>
      <w:r w:rsidR="002C1A3D" w:rsidRPr="006A79B9">
        <w:rPr>
          <w:rFonts w:ascii="Garamond" w:hAnsi="Garamond" w:cstheme="minorHAnsi"/>
        </w:rPr>
        <w:t xml:space="preserve">assess the parallel trends assumption and to </w:t>
      </w:r>
      <w:r w:rsidRPr="006A79B9">
        <w:rPr>
          <w:rFonts w:ascii="Garamond" w:hAnsi="Garamond" w:cstheme="minorHAnsi"/>
        </w:rPr>
        <w:t>examine potential dynamic treatment effects such as an anticipatory effect</w:t>
      </w:r>
      <w:r w:rsidR="00A86E18">
        <w:rPr>
          <w:rFonts w:ascii="Garamond" w:hAnsi="Garamond" w:cstheme="minorHAnsi"/>
        </w:rPr>
        <w:t xml:space="preserve"> or</w:t>
      </w:r>
      <w:r w:rsidRPr="006A79B9">
        <w:rPr>
          <w:rFonts w:ascii="Garamond" w:hAnsi="Garamond" w:cstheme="minorHAnsi"/>
        </w:rPr>
        <w:t xml:space="preserve"> a delayed effect.</w:t>
      </w:r>
    </w:p>
    <w:p w14:paraId="1ED2056B" w14:textId="77777777" w:rsidR="006158DF" w:rsidRPr="006A79B9" w:rsidRDefault="006158DF" w:rsidP="006C01A5">
      <w:pPr>
        <w:spacing w:line="480" w:lineRule="auto"/>
        <w:jc w:val="both"/>
        <w:rPr>
          <w:rFonts w:ascii="Garamond" w:hAnsi="Garamond" w:cstheme="minorHAnsi"/>
        </w:rPr>
      </w:pPr>
    </w:p>
    <w:p w14:paraId="18D25AC7" w14:textId="3AA47ED7" w:rsidR="008A2554" w:rsidRPr="006A79B9" w:rsidRDefault="008A2554" w:rsidP="006C01A5">
      <w:pPr>
        <w:spacing w:line="480" w:lineRule="auto"/>
        <w:jc w:val="both"/>
        <w:rPr>
          <w:rFonts w:ascii="Garamond" w:hAnsi="Garamond" w:cstheme="minorHAnsi"/>
          <w:b/>
          <w:bCs/>
          <w:smallCaps/>
        </w:rPr>
      </w:pPr>
      <w:r w:rsidRPr="006A79B9">
        <w:rPr>
          <w:rFonts w:ascii="Garamond" w:hAnsi="Garamond" w:cstheme="minorHAnsi"/>
          <w:b/>
          <w:bCs/>
          <w:smallCaps/>
        </w:rPr>
        <w:t>FFLs</w:t>
      </w:r>
    </w:p>
    <w:p w14:paraId="7BCFE5DB" w14:textId="36CBF0A0" w:rsidR="006A79B9" w:rsidRPr="006A79B9" w:rsidRDefault="00EF1732" w:rsidP="006C01A5">
      <w:pPr>
        <w:spacing w:line="480" w:lineRule="auto"/>
        <w:jc w:val="both"/>
        <w:rPr>
          <w:rFonts w:ascii="Garamond" w:hAnsi="Garamond" w:cstheme="minorHAnsi"/>
        </w:rPr>
      </w:pPr>
      <w:r>
        <w:rPr>
          <w:rFonts w:ascii="Garamond" w:hAnsi="Garamond" w:cstheme="minorHAnsi"/>
        </w:rPr>
        <w:t xml:space="preserve">Table 1 presents </w:t>
      </w:r>
      <w:r w:rsidR="00974868">
        <w:rPr>
          <w:rFonts w:ascii="Garamond" w:hAnsi="Garamond" w:cstheme="minorHAnsi"/>
        </w:rPr>
        <w:t xml:space="preserve">DiD </w:t>
      </w:r>
      <w:r>
        <w:rPr>
          <w:rFonts w:ascii="Garamond" w:hAnsi="Garamond" w:cstheme="minorHAnsi"/>
        </w:rPr>
        <w:t>results for the count of newly licensed FFLs</w:t>
      </w:r>
      <w:r w:rsidR="00030B67">
        <w:rPr>
          <w:rFonts w:ascii="Garamond" w:hAnsi="Garamond" w:cstheme="minorHAnsi"/>
        </w:rPr>
        <w:t>. T</w:t>
      </w:r>
      <w:r w:rsidR="00A66680" w:rsidRPr="006A79B9">
        <w:rPr>
          <w:rFonts w:ascii="Garamond" w:hAnsi="Garamond" w:cstheme="minorHAnsi"/>
        </w:rPr>
        <w:t xml:space="preserve">he coefficient on </w:t>
      </w:r>
      <w:r w:rsidR="002C1A3D" w:rsidRPr="006A79B9">
        <w:rPr>
          <w:rFonts w:ascii="Garamond" w:hAnsi="Garamond" w:cstheme="minorHAnsi"/>
        </w:rPr>
        <w:t>the</w:t>
      </w:r>
      <w:r w:rsidR="00A66680" w:rsidRPr="006A79B9">
        <w:rPr>
          <w:rFonts w:ascii="Garamond" w:hAnsi="Garamond" w:cstheme="minorHAnsi"/>
        </w:rPr>
        <w:t xml:space="preserve"> treatment indicator</w:t>
      </w:r>
      <w:r w:rsidR="002C1A3D" w:rsidRPr="006A79B9">
        <w:rPr>
          <w:rFonts w:ascii="Garamond" w:hAnsi="Garamond" w:cstheme="minorHAnsi"/>
        </w:rPr>
        <w:t xml:space="preserve"> in </w:t>
      </w:r>
      <w:r w:rsidR="00EE3258">
        <w:rPr>
          <w:rFonts w:ascii="Garamond" w:hAnsi="Garamond" w:cstheme="minorHAnsi"/>
        </w:rPr>
        <w:t xml:space="preserve">the </w:t>
      </w:r>
      <w:r w:rsidR="002C1A3D" w:rsidRPr="006A79B9">
        <w:rPr>
          <w:rFonts w:ascii="Garamond" w:hAnsi="Garamond" w:cstheme="minorHAnsi"/>
        </w:rPr>
        <w:t>model</w:t>
      </w:r>
      <w:r w:rsidR="00A66680" w:rsidRPr="006A79B9">
        <w:rPr>
          <w:rFonts w:ascii="Garamond" w:hAnsi="Garamond" w:cstheme="minorHAnsi"/>
        </w:rPr>
        <w:t xml:space="preserve"> is 0.1</w:t>
      </w:r>
      <w:r w:rsidR="004869C4">
        <w:rPr>
          <w:rFonts w:ascii="Garamond" w:hAnsi="Garamond" w:cstheme="minorHAnsi"/>
        </w:rPr>
        <w:t>03</w:t>
      </w:r>
      <w:r w:rsidR="00A66680" w:rsidRPr="006A79B9">
        <w:rPr>
          <w:rFonts w:ascii="Garamond" w:hAnsi="Garamond" w:cstheme="minorHAnsi"/>
        </w:rPr>
        <w:t xml:space="preserve"> (SE = 0.0</w:t>
      </w:r>
      <w:r w:rsidR="004869C4">
        <w:rPr>
          <w:rFonts w:ascii="Garamond" w:hAnsi="Garamond" w:cstheme="minorHAnsi"/>
        </w:rPr>
        <w:t>59</w:t>
      </w:r>
      <w:r w:rsidR="00A66680" w:rsidRPr="006A79B9">
        <w:rPr>
          <w:rFonts w:ascii="Garamond" w:hAnsi="Garamond" w:cstheme="minorHAnsi"/>
        </w:rPr>
        <w:t>), which equates to a</w:t>
      </w:r>
      <w:r w:rsidR="00B07471">
        <w:rPr>
          <w:rFonts w:ascii="Garamond" w:hAnsi="Garamond" w:cstheme="minorHAnsi"/>
        </w:rPr>
        <w:t>n</w:t>
      </w:r>
      <w:r w:rsidR="003566A9" w:rsidRPr="006A79B9">
        <w:rPr>
          <w:rFonts w:ascii="Garamond" w:hAnsi="Garamond" w:cstheme="minorHAnsi"/>
        </w:rPr>
        <w:t xml:space="preserve"> </w:t>
      </w:r>
      <w:r w:rsidR="00A66680" w:rsidRPr="006A79B9">
        <w:rPr>
          <w:rFonts w:ascii="Garamond" w:hAnsi="Garamond" w:cstheme="minorHAnsi"/>
        </w:rPr>
        <w:t xml:space="preserve">11% </w:t>
      </w:r>
      <w:r w:rsidR="004869C4" w:rsidRPr="006C01A5">
        <w:rPr>
          <w:rFonts w:ascii="Garamond" w:hAnsi="Garamond" w:cstheme="minorHAnsi"/>
        </w:rPr>
        <w:t>increase</w:t>
      </w:r>
      <w:r w:rsidR="00A66680" w:rsidRPr="006A79B9">
        <w:rPr>
          <w:rFonts w:ascii="Garamond" w:hAnsi="Garamond" w:cstheme="minorHAnsi"/>
        </w:rPr>
        <w:t xml:space="preserve"> in the number of new FFLs per month following the rule change </w:t>
      </w:r>
      <m:oMath>
        <m:d>
          <m:dPr>
            <m:ctrlPr>
              <w:rPr>
                <w:rFonts w:ascii="Cambria Math" w:hAnsi="Cambria Math" w:cstheme="minorHAnsi"/>
                <w:i/>
              </w:rPr>
            </m:ctrlPr>
          </m:dPr>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0.103</m:t>
                    </m:r>
                  </m:sup>
                </m:sSup>
                <m:r>
                  <w:rPr>
                    <w:rFonts w:ascii="Cambria Math" w:hAnsi="Cambria Math" w:cstheme="minorHAnsi"/>
                  </w:rPr>
                  <m:t>-1</m:t>
                </m:r>
              </m:e>
            </m:d>
            <m:r>
              <w:rPr>
                <w:rFonts w:ascii="Cambria Math" w:eastAsiaTheme="minorEastAsia" w:hAnsi="Cambria Math" w:cstheme="minorHAnsi"/>
              </w:rPr>
              <m:t>=11%</m:t>
            </m:r>
          </m:e>
        </m:d>
      </m:oMath>
      <w:r w:rsidR="00A66680" w:rsidRPr="006A79B9">
        <w:rPr>
          <w:rFonts w:ascii="Garamond" w:hAnsi="Garamond" w:cstheme="minorHAnsi"/>
        </w:rPr>
        <w:t>.</w:t>
      </w:r>
      <w:r w:rsidR="00AB27FE" w:rsidRPr="006A79B9">
        <w:rPr>
          <w:rStyle w:val="FootnoteReference"/>
          <w:rFonts w:ascii="Garamond" w:hAnsi="Garamond" w:cstheme="minorHAnsi"/>
        </w:rPr>
        <w:footnoteReference w:id="7"/>
      </w:r>
      <w:r w:rsidR="00A66680" w:rsidRPr="006A79B9">
        <w:rPr>
          <w:rFonts w:ascii="Garamond" w:hAnsi="Garamond" w:cstheme="minorHAnsi"/>
        </w:rPr>
        <w:t xml:space="preserve"> </w:t>
      </w:r>
      <w:r w:rsidR="00B07471">
        <w:rPr>
          <w:rFonts w:ascii="Garamond" w:hAnsi="Garamond" w:cstheme="minorHAnsi"/>
        </w:rPr>
        <w:t>However, this finding is not statistically significant at a conventional p-value of 0.05. Therefore, we do not observe support for our first</w:t>
      </w:r>
      <w:r w:rsidR="006C5840" w:rsidRPr="006A79B9">
        <w:rPr>
          <w:rFonts w:ascii="Garamond" w:hAnsi="Garamond" w:cstheme="minorHAnsi"/>
        </w:rPr>
        <w:t xml:space="preserve"> </w:t>
      </w:r>
      <w:r w:rsidR="000B3831">
        <w:rPr>
          <w:rFonts w:ascii="Garamond" w:hAnsi="Garamond" w:cstheme="minorHAnsi"/>
        </w:rPr>
        <w:t>hypothesis</w:t>
      </w:r>
      <w:r w:rsidR="006C5840" w:rsidRPr="006A79B9">
        <w:rPr>
          <w:rFonts w:ascii="Garamond" w:hAnsi="Garamond" w:cstheme="minorHAnsi"/>
        </w:rPr>
        <w:t xml:space="preserve">, </w:t>
      </w:r>
      <w:r w:rsidR="000B3831">
        <w:rPr>
          <w:rFonts w:ascii="Garamond" w:hAnsi="Garamond" w:cstheme="minorHAnsi"/>
        </w:rPr>
        <w:t xml:space="preserve">in which </w:t>
      </w:r>
      <w:r w:rsidR="006C5840" w:rsidRPr="006A79B9">
        <w:rPr>
          <w:rFonts w:ascii="Garamond" w:hAnsi="Garamond" w:cstheme="minorHAnsi"/>
        </w:rPr>
        <w:t>we specified an expected increase in new FFLs</w:t>
      </w:r>
      <w:r w:rsidR="00AB27FE" w:rsidRPr="006A79B9">
        <w:rPr>
          <w:rFonts w:ascii="Garamond" w:hAnsi="Garamond" w:cstheme="minorHAnsi"/>
        </w:rPr>
        <w:t>.</w:t>
      </w:r>
      <w:r w:rsidR="009415CA">
        <w:rPr>
          <w:rFonts w:ascii="Garamond" w:hAnsi="Garamond" w:cstheme="minorHAnsi"/>
        </w:rPr>
        <w:t xml:space="preserve"> The model yields a pseudo R</w:t>
      </w:r>
      <w:r w:rsidR="009415CA" w:rsidRPr="006C01A5">
        <w:rPr>
          <w:rFonts w:ascii="Garamond" w:hAnsi="Garamond" w:cstheme="minorHAnsi"/>
          <w:vertAlign w:val="superscript"/>
        </w:rPr>
        <w:t>2</w:t>
      </w:r>
      <w:r w:rsidR="009415CA">
        <w:rPr>
          <w:rFonts w:ascii="Garamond" w:hAnsi="Garamond" w:cstheme="minorHAnsi"/>
        </w:rPr>
        <w:t xml:space="preserve"> of 0.359, indicating moderately strong fit. </w:t>
      </w:r>
    </w:p>
    <w:p w14:paraId="5AAB8FBF" w14:textId="77777777" w:rsidR="008330B2" w:rsidRPr="006A79B9" w:rsidRDefault="008330B2" w:rsidP="006C01A5">
      <w:pPr>
        <w:spacing w:line="480" w:lineRule="auto"/>
        <w:jc w:val="both"/>
        <w:rPr>
          <w:rFonts w:ascii="Garamond" w:hAnsi="Garamond" w:cstheme="minorHAnsi"/>
        </w:rPr>
      </w:pPr>
    </w:p>
    <w:p w14:paraId="2A0F3471" w14:textId="0D7D3A04" w:rsidR="002A26C5" w:rsidRPr="006A79B9" w:rsidRDefault="002A26C5" w:rsidP="002A26C5">
      <w:pPr>
        <w:spacing w:line="240" w:lineRule="auto"/>
        <w:jc w:val="both"/>
        <w:rPr>
          <w:rFonts w:ascii="Garamond" w:hAnsi="Garamond" w:cstheme="minorHAnsi"/>
          <w:b/>
          <w:bCs/>
        </w:rPr>
      </w:pPr>
      <w:r w:rsidRPr="006A79B9">
        <w:rPr>
          <w:rFonts w:ascii="Garamond" w:hAnsi="Garamond" w:cstheme="minorHAnsi"/>
          <w:b/>
          <w:bCs/>
        </w:rPr>
        <w:t xml:space="preserve">Table 1. DiD Estimates: </w:t>
      </w:r>
      <w:r w:rsidR="002C4780">
        <w:rPr>
          <w:rFonts w:ascii="Garamond" w:hAnsi="Garamond" w:cstheme="minorHAnsi"/>
          <w:b/>
          <w:bCs/>
        </w:rPr>
        <w:t xml:space="preserve">New </w:t>
      </w:r>
      <w:r w:rsidRPr="006A79B9">
        <w:rPr>
          <w:rFonts w:ascii="Garamond" w:hAnsi="Garamond" w:cstheme="minorHAnsi"/>
          <w:b/>
          <w:bCs/>
        </w:rPr>
        <w:t>FFLs</w:t>
      </w:r>
    </w:p>
    <w:tbl>
      <w:tblPr>
        <w:tblW w:w="0" w:type="auto"/>
        <w:tblLayout w:type="fixed"/>
        <w:tblLook w:val="04A0" w:firstRow="1" w:lastRow="0" w:firstColumn="1" w:lastColumn="0" w:noHBand="0" w:noVBand="1"/>
      </w:tblPr>
      <w:tblGrid>
        <w:gridCol w:w="1710"/>
        <w:gridCol w:w="1710"/>
        <w:gridCol w:w="1620"/>
      </w:tblGrid>
      <w:tr w:rsidR="00EE3258" w:rsidRPr="00A946A4" w14:paraId="1BD6C8F5" w14:textId="04D036B0" w:rsidTr="00F4048E">
        <w:tc>
          <w:tcPr>
            <w:tcW w:w="1710" w:type="dxa"/>
            <w:tcBorders>
              <w:top w:val="single" w:sz="4" w:space="0" w:color="auto"/>
              <w:left w:val="nil"/>
              <w:right w:val="nil"/>
            </w:tcBorders>
          </w:tcPr>
          <w:p w14:paraId="245B9A03" w14:textId="77777777" w:rsidR="00EE3258" w:rsidRPr="00A946A4" w:rsidRDefault="00EE3258" w:rsidP="004F3768">
            <w:pPr>
              <w:spacing w:line="240" w:lineRule="auto"/>
              <w:jc w:val="both"/>
              <w:rPr>
                <w:rFonts w:ascii="Garamond" w:hAnsi="Garamond" w:cstheme="minorHAnsi"/>
              </w:rPr>
            </w:pPr>
          </w:p>
        </w:tc>
        <w:tc>
          <w:tcPr>
            <w:tcW w:w="1710" w:type="dxa"/>
            <w:tcBorders>
              <w:top w:val="single" w:sz="4" w:space="0" w:color="auto"/>
              <w:left w:val="nil"/>
              <w:right w:val="nil"/>
            </w:tcBorders>
          </w:tcPr>
          <w:p w14:paraId="4139667B" w14:textId="3090F755" w:rsidR="00EE3258" w:rsidRDefault="00F4048E" w:rsidP="004F3768">
            <w:pPr>
              <w:spacing w:line="240" w:lineRule="auto"/>
              <w:jc w:val="both"/>
              <w:rPr>
                <w:rFonts w:ascii="Garamond" w:hAnsi="Garamond" w:cstheme="minorHAnsi"/>
              </w:rPr>
            </w:pPr>
            <w:r>
              <w:rPr>
                <w:rFonts w:ascii="Garamond" w:hAnsi="Garamond" w:cstheme="minorHAnsi"/>
              </w:rPr>
              <w:t>Coef.</w:t>
            </w:r>
            <w:r w:rsidR="00EE3258">
              <w:rPr>
                <w:rFonts w:ascii="Garamond" w:hAnsi="Garamond" w:cstheme="minorHAnsi"/>
              </w:rPr>
              <w:t xml:space="preserve"> </w:t>
            </w:r>
          </w:p>
        </w:tc>
        <w:tc>
          <w:tcPr>
            <w:tcW w:w="1620" w:type="dxa"/>
            <w:tcBorders>
              <w:top w:val="single" w:sz="4" w:space="0" w:color="auto"/>
              <w:left w:val="nil"/>
              <w:right w:val="nil"/>
            </w:tcBorders>
          </w:tcPr>
          <w:p w14:paraId="42CE9EFB" w14:textId="6A709E8C" w:rsidR="00EE3258" w:rsidRDefault="00F4048E" w:rsidP="00F4048E">
            <w:pPr>
              <w:spacing w:line="240" w:lineRule="auto"/>
              <w:ind w:right="-20"/>
              <w:jc w:val="both"/>
              <w:rPr>
                <w:rFonts w:ascii="Garamond" w:hAnsi="Garamond" w:cstheme="minorHAnsi"/>
              </w:rPr>
            </w:pPr>
            <w:r>
              <w:rPr>
                <w:rFonts w:ascii="Garamond" w:hAnsi="Garamond" w:cstheme="minorHAnsi"/>
              </w:rPr>
              <w:t>Std. Err.</w:t>
            </w:r>
          </w:p>
        </w:tc>
      </w:tr>
      <w:tr w:rsidR="00EE3258" w:rsidRPr="00A946A4" w14:paraId="32617F90" w14:textId="25DA70CB" w:rsidTr="00F4048E">
        <w:tc>
          <w:tcPr>
            <w:tcW w:w="1710" w:type="dxa"/>
            <w:tcBorders>
              <w:top w:val="single" w:sz="4" w:space="0" w:color="auto"/>
              <w:left w:val="nil"/>
              <w:bottom w:val="nil"/>
              <w:right w:val="nil"/>
            </w:tcBorders>
            <w:hideMark/>
          </w:tcPr>
          <w:p w14:paraId="19E82FDB" w14:textId="77777777" w:rsidR="00EE3258" w:rsidRPr="00A946A4" w:rsidRDefault="00EE3258" w:rsidP="00030B67">
            <w:pPr>
              <w:spacing w:line="240" w:lineRule="auto"/>
              <w:jc w:val="both"/>
              <w:rPr>
                <w:rFonts w:ascii="Garamond" w:hAnsi="Garamond" w:cstheme="minorHAnsi"/>
              </w:rPr>
            </w:pPr>
            <w:r w:rsidRPr="006A79B9">
              <w:rPr>
                <w:rFonts w:ascii="Garamond" w:hAnsi="Garamond" w:cstheme="minorHAnsi"/>
              </w:rPr>
              <w:t>T</w:t>
            </w:r>
            <w:r w:rsidRPr="00A946A4">
              <w:rPr>
                <w:rFonts w:ascii="Garamond" w:hAnsi="Garamond" w:cstheme="minorHAnsi"/>
              </w:rPr>
              <w:t>reat</w:t>
            </w:r>
          </w:p>
        </w:tc>
        <w:tc>
          <w:tcPr>
            <w:tcW w:w="1710" w:type="dxa"/>
            <w:tcBorders>
              <w:top w:val="single" w:sz="4" w:space="0" w:color="auto"/>
              <w:left w:val="nil"/>
              <w:bottom w:val="nil"/>
              <w:right w:val="nil"/>
            </w:tcBorders>
          </w:tcPr>
          <w:p w14:paraId="57CF84E4" w14:textId="3392B390" w:rsidR="00EE3258" w:rsidRPr="00A946A4" w:rsidRDefault="00EE3258" w:rsidP="00030B67">
            <w:pPr>
              <w:spacing w:line="240" w:lineRule="auto"/>
              <w:jc w:val="both"/>
              <w:rPr>
                <w:rFonts w:ascii="Garamond" w:hAnsi="Garamond" w:cstheme="minorHAnsi"/>
              </w:rPr>
            </w:pPr>
            <w:r w:rsidRPr="00A946A4">
              <w:rPr>
                <w:rFonts w:ascii="Garamond" w:hAnsi="Garamond" w:cstheme="minorHAnsi"/>
              </w:rPr>
              <w:t>0.</w:t>
            </w:r>
            <w:r w:rsidRPr="006A79B9">
              <w:rPr>
                <w:rFonts w:ascii="Garamond" w:hAnsi="Garamond" w:cstheme="minorHAnsi"/>
              </w:rPr>
              <w:t>1</w:t>
            </w:r>
            <w:r w:rsidR="004869C4">
              <w:rPr>
                <w:rFonts w:ascii="Garamond" w:hAnsi="Garamond" w:cstheme="minorHAnsi"/>
              </w:rPr>
              <w:t>03</w:t>
            </w:r>
          </w:p>
        </w:tc>
        <w:tc>
          <w:tcPr>
            <w:tcW w:w="1620" w:type="dxa"/>
            <w:tcBorders>
              <w:top w:val="single" w:sz="4" w:space="0" w:color="auto"/>
              <w:left w:val="nil"/>
              <w:bottom w:val="nil"/>
              <w:right w:val="nil"/>
            </w:tcBorders>
          </w:tcPr>
          <w:p w14:paraId="089634C9" w14:textId="6824FA0B" w:rsidR="00EE3258" w:rsidRPr="006A79B9" w:rsidRDefault="00EE3258" w:rsidP="00030B67">
            <w:pPr>
              <w:spacing w:line="240" w:lineRule="auto"/>
              <w:jc w:val="both"/>
              <w:rPr>
                <w:rFonts w:ascii="Garamond" w:hAnsi="Garamond" w:cstheme="minorHAnsi"/>
              </w:rPr>
            </w:pPr>
            <w:r w:rsidRPr="00A946A4">
              <w:rPr>
                <w:rFonts w:ascii="Garamond" w:hAnsi="Garamond" w:cstheme="minorHAnsi"/>
              </w:rPr>
              <w:t>0.0</w:t>
            </w:r>
            <w:r w:rsidR="004869C4">
              <w:rPr>
                <w:rFonts w:ascii="Garamond" w:hAnsi="Garamond" w:cstheme="minorHAnsi"/>
              </w:rPr>
              <w:t>59</w:t>
            </w:r>
          </w:p>
          <w:p w14:paraId="4825D777" w14:textId="77777777" w:rsidR="00EE3258" w:rsidRPr="00A946A4" w:rsidRDefault="00EE3258" w:rsidP="00030B67">
            <w:pPr>
              <w:spacing w:line="240" w:lineRule="auto"/>
              <w:jc w:val="both"/>
              <w:rPr>
                <w:rFonts w:ascii="Garamond" w:hAnsi="Garamond" w:cstheme="minorHAnsi"/>
              </w:rPr>
            </w:pPr>
          </w:p>
        </w:tc>
      </w:tr>
      <w:tr w:rsidR="00EE3258" w:rsidRPr="00A946A4" w14:paraId="7ECF47B8" w14:textId="6EC7C127" w:rsidTr="00F4048E">
        <w:tc>
          <w:tcPr>
            <w:tcW w:w="1710" w:type="dxa"/>
            <w:tcBorders>
              <w:top w:val="nil"/>
              <w:left w:val="nil"/>
              <w:bottom w:val="single" w:sz="4" w:space="0" w:color="auto"/>
              <w:right w:val="nil"/>
            </w:tcBorders>
            <w:hideMark/>
          </w:tcPr>
          <w:p w14:paraId="61678AA2" w14:textId="77777777" w:rsidR="00EE3258" w:rsidRPr="00A946A4" w:rsidRDefault="00EE3258" w:rsidP="00030B67">
            <w:pPr>
              <w:spacing w:line="240" w:lineRule="auto"/>
              <w:jc w:val="both"/>
              <w:rPr>
                <w:rFonts w:ascii="Garamond" w:hAnsi="Garamond" w:cstheme="minorHAnsi"/>
              </w:rPr>
            </w:pPr>
            <w:r w:rsidRPr="00A946A4">
              <w:rPr>
                <w:rFonts w:ascii="Garamond" w:hAnsi="Garamond" w:cstheme="minorHAnsi"/>
              </w:rPr>
              <w:t>Constant</w:t>
            </w:r>
          </w:p>
        </w:tc>
        <w:tc>
          <w:tcPr>
            <w:tcW w:w="1710" w:type="dxa"/>
            <w:tcBorders>
              <w:top w:val="nil"/>
              <w:left w:val="nil"/>
              <w:bottom w:val="single" w:sz="4" w:space="0" w:color="auto"/>
              <w:right w:val="nil"/>
            </w:tcBorders>
          </w:tcPr>
          <w:p w14:paraId="1804ABFF" w14:textId="2F07A35A" w:rsidR="00EE3258" w:rsidRPr="00A946A4" w:rsidRDefault="00EE3258" w:rsidP="00030B67">
            <w:pPr>
              <w:spacing w:line="240" w:lineRule="auto"/>
              <w:jc w:val="both"/>
              <w:rPr>
                <w:rFonts w:ascii="Garamond" w:hAnsi="Garamond" w:cstheme="minorHAnsi"/>
              </w:rPr>
            </w:pPr>
            <w:r w:rsidRPr="00A946A4">
              <w:rPr>
                <w:rFonts w:ascii="Garamond" w:hAnsi="Garamond" w:cstheme="minorHAnsi"/>
              </w:rPr>
              <w:t>1</w:t>
            </w:r>
            <w:r w:rsidRPr="006A79B9">
              <w:rPr>
                <w:rFonts w:ascii="Garamond" w:hAnsi="Garamond" w:cstheme="minorHAnsi"/>
              </w:rPr>
              <w:t>.</w:t>
            </w:r>
            <w:r w:rsidR="004869C4">
              <w:rPr>
                <w:rFonts w:ascii="Garamond" w:hAnsi="Garamond" w:cstheme="minorHAnsi"/>
              </w:rPr>
              <w:t>750</w:t>
            </w:r>
            <w:r w:rsidRPr="00A946A4">
              <w:rPr>
                <w:rFonts w:ascii="Garamond" w:hAnsi="Garamond" w:cstheme="minorHAnsi"/>
                <w:vertAlign w:val="superscript"/>
              </w:rPr>
              <w:t>***</w:t>
            </w:r>
          </w:p>
        </w:tc>
        <w:tc>
          <w:tcPr>
            <w:tcW w:w="1620" w:type="dxa"/>
            <w:tcBorders>
              <w:top w:val="nil"/>
              <w:left w:val="nil"/>
              <w:bottom w:val="single" w:sz="4" w:space="0" w:color="auto"/>
              <w:right w:val="nil"/>
            </w:tcBorders>
          </w:tcPr>
          <w:p w14:paraId="0049D59B" w14:textId="531292EE" w:rsidR="00EE3258" w:rsidRPr="00A946A4" w:rsidRDefault="00EE3258" w:rsidP="00030B67">
            <w:pPr>
              <w:spacing w:line="240" w:lineRule="auto"/>
              <w:jc w:val="both"/>
              <w:rPr>
                <w:rFonts w:ascii="Garamond" w:hAnsi="Garamond" w:cstheme="minorHAnsi"/>
              </w:rPr>
            </w:pPr>
            <w:r w:rsidRPr="00A946A4">
              <w:rPr>
                <w:rFonts w:ascii="Garamond" w:hAnsi="Garamond" w:cstheme="minorHAnsi"/>
              </w:rPr>
              <w:t>0.0</w:t>
            </w:r>
            <w:r w:rsidR="004869C4">
              <w:rPr>
                <w:rFonts w:ascii="Garamond" w:hAnsi="Garamond" w:cstheme="minorHAnsi"/>
              </w:rPr>
              <w:t>2</w:t>
            </w:r>
            <w:r>
              <w:rPr>
                <w:rFonts w:ascii="Garamond" w:hAnsi="Garamond" w:cstheme="minorHAnsi"/>
              </w:rPr>
              <w:t>0</w:t>
            </w:r>
          </w:p>
        </w:tc>
      </w:tr>
      <w:tr w:rsidR="00EE3258" w:rsidRPr="00A946A4" w14:paraId="586BEF4D" w14:textId="2B944618" w:rsidTr="00F4048E">
        <w:tc>
          <w:tcPr>
            <w:tcW w:w="1710" w:type="dxa"/>
            <w:tcBorders>
              <w:top w:val="nil"/>
              <w:left w:val="nil"/>
              <w:bottom w:val="single" w:sz="4" w:space="0" w:color="auto"/>
              <w:right w:val="nil"/>
            </w:tcBorders>
            <w:hideMark/>
          </w:tcPr>
          <w:p w14:paraId="70FF4F6F" w14:textId="77777777" w:rsidR="00EE3258" w:rsidRPr="006A79B9" w:rsidRDefault="00EE3258" w:rsidP="00030B67">
            <w:pPr>
              <w:spacing w:line="240" w:lineRule="auto"/>
              <w:jc w:val="both"/>
              <w:rPr>
                <w:rFonts w:ascii="Garamond" w:hAnsi="Garamond" w:cstheme="minorHAnsi"/>
              </w:rPr>
            </w:pPr>
            <w:r w:rsidRPr="00A946A4">
              <w:rPr>
                <w:rFonts w:ascii="Garamond" w:hAnsi="Garamond" w:cstheme="minorHAnsi"/>
              </w:rPr>
              <w:t>Observations</w:t>
            </w:r>
          </w:p>
          <w:p w14:paraId="0D973D41" w14:textId="77777777" w:rsidR="00EE3258" w:rsidRPr="00A946A4" w:rsidRDefault="00EE3258" w:rsidP="00030B67">
            <w:pPr>
              <w:spacing w:line="240" w:lineRule="auto"/>
              <w:jc w:val="both"/>
              <w:rPr>
                <w:rFonts w:ascii="Garamond" w:hAnsi="Garamond" w:cstheme="minorHAnsi"/>
              </w:rPr>
            </w:pPr>
            <w:r w:rsidRPr="006A79B9">
              <w:rPr>
                <w:rFonts w:ascii="Garamond" w:hAnsi="Garamond" w:cstheme="minorHAnsi"/>
              </w:rPr>
              <w:t>Clusters</w:t>
            </w:r>
          </w:p>
        </w:tc>
        <w:tc>
          <w:tcPr>
            <w:tcW w:w="1710" w:type="dxa"/>
            <w:tcBorders>
              <w:top w:val="nil"/>
              <w:left w:val="nil"/>
              <w:bottom w:val="single" w:sz="4" w:space="0" w:color="auto"/>
              <w:right w:val="nil"/>
            </w:tcBorders>
          </w:tcPr>
          <w:p w14:paraId="3948343F" w14:textId="77777777" w:rsidR="00EE3258" w:rsidRDefault="00EE3258" w:rsidP="00030B67">
            <w:pPr>
              <w:spacing w:line="240" w:lineRule="auto"/>
              <w:jc w:val="both"/>
              <w:rPr>
                <w:rFonts w:ascii="Garamond" w:hAnsi="Garamond" w:cstheme="minorHAnsi"/>
              </w:rPr>
            </w:pPr>
            <w:r>
              <w:rPr>
                <w:rFonts w:ascii="Garamond" w:hAnsi="Garamond" w:cstheme="minorHAnsi"/>
              </w:rPr>
              <w:t>1150</w:t>
            </w:r>
          </w:p>
          <w:p w14:paraId="6D245B7E" w14:textId="5580652C" w:rsidR="00EE3258" w:rsidRPr="00A946A4" w:rsidRDefault="00EE3258" w:rsidP="00030B67">
            <w:pPr>
              <w:spacing w:line="240" w:lineRule="auto"/>
              <w:jc w:val="both"/>
              <w:rPr>
                <w:rFonts w:ascii="Garamond" w:hAnsi="Garamond" w:cstheme="minorHAnsi"/>
              </w:rPr>
            </w:pPr>
            <w:r>
              <w:rPr>
                <w:rFonts w:ascii="Garamond" w:hAnsi="Garamond" w:cstheme="minorHAnsi"/>
              </w:rPr>
              <w:t>46</w:t>
            </w:r>
          </w:p>
        </w:tc>
        <w:tc>
          <w:tcPr>
            <w:tcW w:w="1620" w:type="dxa"/>
            <w:tcBorders>
              <w:top w:val="nil"/>
              <w:left w:val="nil"/>
              <w:bottom w:val="single" w:sz="4" w:space="0" w:color="auto"/>
              <w:right w:val="nil"/>
            </w:tcBorders>
          </w:tcPr>
          <w:p w14:paraId="7251D5B1" w14:textId="77777777" w:rsidR="00EE3258" w:rsidRPr="00A946A4" w:rsidRDefault="00EE3258" w:rsidP="00030B67">
            <w:pPr>
              <w:spacing w:line="240" w:lineRule="auto"/>
              <w:jc w:val="both"/>
              <w:rPr>
                <w:rFonts w:ascii="Garamond" w:hAnsi="Garamond" w:cstheme="minorHAnsi"/>
              </w:rPr>
            </w:pPr>
          </w:p>
        </w:tc>
      </w:tr>
    </w:tbl>
    <w:p w14:paraId="3FC84473" w14:textId="77777777" w:rsidR="002A26C5" w:rsidRPr="006A79B9" w:rsidRDefault="002A26C5" w:rsidP="002A26C5">
      <w:pPr>
        <w:spacing w:line="240" w:lineRule="auto"/>
        <w:jc w:val="both"/>
        <w:rPr>
          <w:rFonts w:ascii="Garamond" w:hAnsi="Garamond" w:cs="Courier New"/>
        </w:rPr>
      </w:pPr>
      <w:r w:rsidRPr="006A79B9">
        <w:rPr>
          <w:rFonts w:ascii="Garamond" w:hAnsi="Garamond" w:cstheme="minorHAnsi"/>
        </w:rPr>
        <w:t xml:space="preserve">Notes: </w:t>
      </w:r>
      <w:r w:rsidRPr="006A79B9">
        <w:rPr>
          <w:rFonts w:ascii="Garamond" w:hAnsi="Garamond" w:cs="Courier New"/>
        </w:rPr>
        <w:t xml:space="preserve">Poisson Pseudo-Maximum Likelihood model. </w:t>
      </w:r>
    </w:p>
    <w:p w14:paraId="00F6C3B4" w14:textId="77777777" w:rsidR="002A26C5" w:rsidRPr="006A79B9" w:rsidRDefault="002A26C5" w:rsidP="002A26C5">
      <w:pPr>
        <w:spacing w:line="240" w:lineRule="auto"/>
        <w:jc w:val="both"/>
        <w:rPr>
          <w:rFonts w:ascii="Garamond" w:hAnsi="Garamond" w:cstheme="minorHAnsi"/>
        </w:rPr>
      </w:pPr>
      <w:r w:rsidRPr="006A79B9">
        <w:rPr>
          <w:rFonts w:ascii="Garamond" w:hAnsi="Garamond" w:cs="Courier New"/>
        </w:rPr>
        <w:t>S</w:t>
      </w:r>
      <w:r w:rsidRPr="006A79B9">
        <w:rPr>
          <w:rFonts w:ascii="Garamond" w:hAnsi="Garamond" w:cstheme="minorHAnsi"/>
        </w:rPr>
        <w:t xml:space="preserve">tandard errors clustered by state. </w:t>
      </w:r>
    </w:p>
    <w:p w14:paraId="15BE6E4A" w14:textId="14488D1E" w:rsidR="002A26C5" w:rsidRPr="006A79B9" w:rsidRDefault="002A26C5" w:rsidP="002A26C5">
      <w:pPr>
        <w:spacing w:line="240" w:lineRule="auto"/>
        <w:jc w:val="both"/>
        <w:rPr>
          <w:rFonts w:ascii="Garamond" w:hAnsi="Garamond" w:cstheme="minorHAnsi"/>
        </w:rPr>
      </w:pP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0.05, </w:t>
      </w: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0.01, </w:t>
      </w: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0.001</w:t>
      </w:r>
    </w:p>
    <w:p w14:paraId="3F2D158F" w14:textId="4A6CA6EE" w:rsidR="003F01FF" w:rsidRDefault="002C1A3D" w:rsidP="006C01A5">
      <w:pPr>
        <w:spacing w:line="480" w:lineRule="auto"/>
        <w:ind w:firstLine="720"/>
        <w:jc w:val="both"/>
        <w:rPr>
          <w:rFonts w:ascii="Garamond" w:hAnsi="Garamond" w:cstheme="minorHAnsi"/>
        </w:rPr>
      </w:pPr>
      <w:r w:rsidRPr="006A79B9">
        <w:rPr>
          <w:rFonts w:ascii="Garamond" w:hAnsi="Garamond" w:cstheme="minorHAnsi"/>
        </w:rPr>
        <w:lastRenderedPageBreak/>
        <w:t xml:space="preserve">To assess the validity of the parallel trends assumption underlying </w:t>
      </w:r>
      <w:r w:rsidR="00644673" w:rsidRPr="006A79B9">
        <w:rPr>
          <w:rFonts w:ascii="Garamond" w:hAnsi="Garamond" w:cstheme="minorHAnsi"/>
        </w:rPr>
        <w:t xml:space="preserve">both the DiD and the </w:t>
      </w:r>
      <w:r w:rsidRPr="006A79B9">
        <w:rPr>
          <w:rFonts w:ascii="Garamond" w:hAnsi="Garamond" w:cstheme="minorHAnsi"/>
        </w:rPr>
        <w:t xml:space="preserve">event study design, we </w:t>
      </w:r>
      <w:r w:rsidR="008A2554" w:rsidRPr="006A79B9">
        <w:rPr>
          <w:rFonts w:ascii="Garamond" w:hAnsi="Garamond" w:cstheme="minorHAnsi"/>
        </w:rPr>
        <w:t xml:space="preserve">estimate our event study model and </w:t>
      </w:r>
      <w:r w:rsidRPr="006A79B9">
        <w:rPr>
          <w:rFonts w:ascii="Garamond" w:hAnsi="Garamond" w:cstheme="minorHAnsi"/>
        </w:rPr>
        <w:t xml:space="preserve">examine the coefficients for the pre-intervention periods. </w:t>
      </w:r>
      <w:r w:rsidR="00C101CE">
        <w:rPr>
          <w:rFonts w:ascii="Garamond" w:hAnsi="Garamond" w:cstheme="minorHAnsi"/>
        </w:rPr>
        <w:t xml:space="preserve">The coefficients for each month are interpreted </w:t>
      </w:r>
      <w:r w:rsidR="00C101CE" w:rsidRPr="006A79B9">
        <w:rPr>
          <w:rFonts w:ascii="Garamond" w:eastAsiaTheme="minorEastAsia" w:hAnsi="Garamond" w:cstheme="minorHAnsi"/>
        </w:rPr>
        <w:t xml:space="preserve">as </w:t>
      </w:r>
      <w:r w:rsidR="00C101CE">
        <w:rPr>
          <w:rFonts w:ascii="Garamond" w:eastAsiaTheme="minorEastAsia" w:hAnsi="Garamond" w:cstheme="minorHAnsi"/>
        </w:rPr>
        <w:t>the average difference in the outcome between the control and treated states relative to the reference period</w:t>
      </w:r>
      <w:r w:rsidR="00C101CE" w:rsidRPr="006A79B9">
        <w:rPr>
          <w:rFonts w:ascii="Garamond" w:hAnsi="Garamond" w:cstheme="minorHAnsi"/>
        </w:rPr>
        <w:t>.</w:t>
      </w:r>
      <w:r w:rsidR="00C101CE">
        <w:rPr>
          <w:rFonts w:ascii="Garamond" w:hAnsi="Garamond" w:cstheme="minorHAnsi"/>
        </w:rPr>
        <w:t xml:space="preserve"> </w:t>
      </w:r>
      <w:r w:rsidR="00150163">
        <w:rPr>
          <w:rFonts w:ascii="Garamond" w:hAnsi="Garamond" w:cstheme="minorHAnsi"/>
        </w:rPr>
        <w:t>As is typical in event study designs, we use the month before treatment as the reference period, in this case April 2024, as it reflects circumstances just before the rule change went into effect</w:t>
      </w:r>
      <w:r w:rsidR="000B3831">
        <w:rPr>
          <w:rFonts w:ascii="Garamond" w:hAnsi="Garamond" w:cstheme="minorHAnsi"/>
        </w:rPr>
        <w:t xml:space="preserve"> (i.e., on May 20, 2024)</w:t>
      </w:r>
      <w:r w:rsidR="00150163">
        <w:rPr>
          <w:rFonts w:ascii="Garamond" w:hAnsi="Garamond" w:cstheme="minorHAnsi"/>
        </w:rPr>
        <w:t xml:space="preserve">. </w:t>
      </w:r>
      <w:r w:rsidR="00242DE2">
        <w:rPr>
          <w:rFonts w:ascii="Garamond" w:hAnsi="Garamond" w:cstheme="minorHAnsi"/>
        </w:rPr>
        <w:t>This is denoted by the staggered vertical line at -1 in Figure 4.</w:t>
      </w:r>
      <w:r w:rsidR="00C101CE">
        <w:rPr>
          <w:rFonts w:ascii="Garamond" w:hAnsi="Garamond" w:cstheme="minorHAnsi"/>
        </w:rPr>
        <w:t xml:space="preserve"> </w:t>
      </w:r>
    </w:p>
    <w:p w14:paraId="12DFE149" w14:textId="22A1F152" w:rsidR="002C1A3D" w:rsidRPr="006A79B9" w:rsidRDefault="00655405" w:rsidP="005B7EA7">
      <w:pPr>
        <w:spacing w:line="480" w:lineRule="auto"/>
        <w:ind w:firstLine="720"/>
        <w:jc w:val="both"/>
        <w:rPr>
          <w:rFonts w:ascii="Garamond" w:hAnsi="Garamond" w:cstheme="minorHAnsi"/>
        </w:rPr>
      </w:pPr>
      <w:r w:rsidRPr="006A79B9">
        <w:rPr>
          <w:rFonts w:ascii="Garamond" w:hAnsi="Garamond" w:cstheme="minorHAnsi"/>
        </w:rPr>
        <w:t>Recall that th</w:t>
      </w:r>
      <w:r w:rsidR="002C1A3D" w:rsidRPr="006A79B9">
        <w:rPr>
          <w:rFonts w:ascii="Garamond" w:hAnsi="Garamond" w:cstheme="minorHAnsi"/>
        </w:rPr>
        <w:t xml:space="preserve">e parallel trends assumption requires that, in the absence of treatment, treated and control units would have followed similar trajectories. </w:t>
      </w:r>
      <w:r w:rsidR="008330B2" w:rsidRPr="006A79B9">
        <w:rPr>
          <w:rFonts w:ascii="Garamond" w:hAnsi="Garamond" w:cstheme="minorHAnsi"/>
        </w:rPr>
        <w:t xml:space="preserve">As can be seen in Figure </w:t>
      </w:r>
      <w:r w:rsidR="00A52486">
        <w:rPr>
          <w:rFonts w:ascii="Garamond" w:hAnsi="Garamond" w:cstheme="minorHAnsi"/>
        </w:rPr>
        <w:t>4</w:t>
      </w:r>
      <w:r w:rsidR="00864AC4" w:rsidRPr="006A79B9">
        <w:rPr>
          <w:rFonts w:ascii="Garamond" w:hAnsi="Garamond" w:cstheme="minorHAnsi"/>
        </w:rPr>
        <w:t xml:space="preserve"> (with coefficients displayed</w:t>
      </w:r>
      <w:r w:rsidR="008330B2" w:rsidRPr="006A79B9">
        <w:rPr>
          <w:rFonts w:ascii="Garamond" w:hAnsi="Garamond" w:cstheme="minorHAnsi"/>
        </w:rPr>
        <w:t xml:space="preserve"> </w:t>
      </w:r>
      <w:r w:rsidR="00864AC4" w:rsidRPr="006A79B9">
        <w:rPr>
          <w:rFonts w:ascii="Garamond" w:hAnsi="Garamond" w:cstheme="minorHAnsi"/>
        </w:rPr>
        <w:t xml:space="preserve">in Appendix Table </w:t>
      </w:r>
      <w:r w:rsidR="00C110BE">
        <w:rPr>
          <w:rFonts w:ascii="Garamond" w:hAnsi="Garamond" w:cstheme="minorHAnsi"/>
        </w:rPr>
        <w:t>A</w:t>
      </w:r>
      <w:r w:rsidR="00864AC4" w:rsidRPr="006A79B9">
        <w:rPr>
          <w:rFonts w:ascii="Garamond" w:hAnsi="Garamond" w:cstheme="minorHAnsi"/>
        </w:rPr>
        <w:t>1)</w:t>
      </w:r>
      <w:r w:rsidR="002C1A3D" w:rsidRPr="006A79B9">
        <w:rPr>
          <w:rFonts w:ascii="Garamond" w:hAnsi="Garamond" w:cstheme="minorHAnsi"/>
        </w:rPr>
        <w:t xml:space="preserve">, none of the pre-treatment coefficients are statistically significant at conventional levels, and their magnitudes fluctuate around zero. This </w:t>
      </w:r>
      <w:r w:rsidRPr="006A79B9">
        <w:rPr>
          <w:rFonts w:ascii="Garamond" w:hAnsi="Garamond" w:cstheme="minorHAnsi"/>
        </w:rPr>
        <w:t>finding suggests that the</w:t>
      </w:r>
      <w:r w:rsidR="002C1A3D" w:rsidRPr="006A79B9">
        <w:rPr>
          <w:rFonts w:ascii="Garamond" w:hAnsi="Garamond" w:cstheme="minorHAnsi"/>
        </w:rPr>
        <w:t xml:space="preserve"> treated and control states exhibited similar trends in</w:t>
      </w:r>
      <w:r w:rsidRPr="006A79B9">
        <w:rPr>
          <w:rFonts w:ascii="Garamond" w:hAnsi="Garamond" w:cstheme="minorHAnsi"/>
        </w:rPr>
        <w:t xml:space="preserve"> FFLs</w:t>
      </w:r>
      <w:r w:rsidR="002C1A3D" w:rsidRPr="006A79B9">
        <w:rPr>
          <w:rFonts w:ascii="Garamond" w:hAnsi="Garamond" w:cstheme="minorHAnsi"/>
        </w:rPr>
        <w:t xml:space="preserve"> prior to the </w:t>
      </w:r>
      <w:r w:rsidRPr="006A79B9">
        <w:rPr>
          <w:rFonts w:ascii="Garamond" w:hAnsi="Garamond" w:cstheme="minorHAnsi"/>
        </w:rPr>
        <w:t>rule change</w:t>
      </w:r>
      <w:r w:rsidR="002C1A3D" w:rsidRPr="006A79B9">
        <w:rPr>
          <w:rFonts w:ascii="Garamond" w:hAnsi="Garamond" w:cstheme="minorHAnsi"/>
        </w:rPr>
        <w:t>.</w:t>
      </w:r>
    </w:p>
    <w:p w14:paraId="5B494ECB" w14:textId="77777777" w:rsidR="00BE3BD1" w:rsidRPr="006A79B9" w:rsidRDefault="00BE3BD1" w:rsidP="005B7EA7">
      <w:pPr>
        <w:spacing w:line="480" w:lineRule="auto"/>
        <w:jc w:val="both"/>
        <w:rPr>
          <w:rFonts w:ascii="Garamond" w:hAnsi="Garamond" w:cstheme="minorHAnsi"/>
        </w:rPr>
      </w:pPr>
    </w:p>
    <w:p w14:paraId="22696A1B" w14:textId="279E360A" w:rsidR="00864AC4" w:rsidRPr="0089347C" w:rsidRDefault="00864AC4" w:rsidP="005B7EA7">
      <w:pPr>
        <w:keepNext/>
        <w:spacing w:line="480" w:lineRule="auto"/>
        <w:jc w:val="both"/>
        <w:rPr>
          <w:rFonts w:ascii="Garamond" w:hAnsi="Garamond" w:cs="Courier New"/>
          <w:b/>
          <w:bCs/>
        </w:rPr>
      </w:pPr>
      <w:r w:rsidRPr="006A79B9">
        <w:rPr>
          <w:rFonts w:ascii="Garamond" w:hAnsi="Garamond" w:cs="Courier New"/>
          <w:b/>
          <w:bCs/>
        </w:rPr>
        <w:t xml:space="preserve">Figure </w:t>
      </w:r>
      <w:r w:rsidR="00A52486">
        <w:rPr>
          <w:rFonts w:ascii="Garamond" w:hAnsi="Garamond" w:cs="Courier New"/>
          <w:b/>
          <w:bCs/>
        </w:rPr>
        <w:t>4</w:t>
      </w:r>
      <w:r w:rsidRPr="006A79B9">
        <w:rPr>
          <w:rFonts w:ascii="Garamond" w:hAnsi="Garamond" w:cs="Courier New"/>
          <w:b/>
          <w:bCs/>
        </w:rPr>
        <w:t xml:space="preserve">. </w:t>
      </w:r>
      <w:r w:rsidRPr="004D04A3">
        <w:rPr>
          <w:rFonts w:ascii="Garamond" w:hAnsi="Garamond" w:cs="Courier New"/>
          <w:b/>
          <w:bCs/>
        </w:rPr>
        <w:t>Event Study Estimates</w:t>
      </w:r>
      <w:r w:rsidRPr="006A79B9">
        <w:rPr>
          <w:rFonts w:ascii="Garamond" w:hAnsi="Garamond" w:cs="Courier New"/>
          <w:b/>
          <w:bCs/>
        </w:rPr>
        <w:t xml:space="preserve">: </w:t>
      </w:r>
      <w:r w:rsidR="004D6234">
        <w:rPr>
          <w:rFonts w:ascii="Garamond" w:hAnsi="Garamond" w:cs="Courier New"/>
          <w:b/>
          <w:bCs/>
        </w:rPr>
        <w:t xml:space="preserve">New </w:t>
      </w:r>
      <w:r w:rsidRPr="006A79B9">
        <w:rPr>
          <w:rFonts w:ascii="Garamond" w:hAnsi="Garamond" w:cs="Courier New"/>
          <w:b/>
          <w:bCs/>
        </w:rPr>
        <w:t>FFLs</w:t>
      </w:r>
    </w:p>
    <w:p w14:paraId="01DA2191" w14:textId="47ED8CC4" w:rsidR="00BA068B" w:rsidRPr="006A79B9" w:rsidRDefault="00E66278" w:rsidP="005B7EA7">
      <w:pPr>
        <w:spacing w:line="480" w:lineRule="auto"/>
        <w:jc w:val="both"/>
        <w:rPr>
          <w:rFonts w:ascii="Garamond" w:hAnsi="Garamond" w:cstheme="minorHAnsi"/>
        </w:rPr>
      </w:pPr>
      <w:r>
        <w:rPr>
          <w:rFonts w:ascii="Garamond" w:hAnsi="Garamond" w:cstheme="minorHAnsi"/>
          <w:noProof/>
          <w14:ligatures w14:val="standardContextual"/>
        </w:rPr>
        <w:drawing>
          <wp:inline distT="0" distB="0" distL="0" distR="0" wp14:anchorId="06EF1A2B" wp14:editId="3B26FD4D">
            <wp:extent cx="5120640" cy="3072384"/>
            <wp:effectExtent l="0" t="0" r="3810" b="0"/>
            <wp:docPr id="222041645" name="Picture 2" descr="A graph showing the time peri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41645" name="Picture 2" descr="A graph showing the time period&#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120640" cy="3072384"/>
                    </a:xfrm>
                    <a:prstGeom prst="rect">
                      <a:avLst/>
                    </a:prstGeom>
                  </pic:spPr>
                </pic:pic>
              </a:graphicData>
            </a:graphic>
          </wp:inline>
        </w:drawing>
      </w:r>
    </w:p>
    <w:p w14:paraId="008F8CDC" w14:textId="2BE4434E" w:rsidR="008330B2" w:rsidRPr="006A79B9" w:rsidRDefault="00644673" w:rsidP="005B7EA7">
      <w:pPr>
        <w:spacing w:line="480" w:lineRule="auto"/>
        <w:ind w:firstLine="720"/>
        <w:jc w:val="both"/>
        <w:rPr>
          <w:rFonts w:ascii="Garamond" w:hAnsi="Garamond" w:cstheme="minorHAnsi"/>
        </w:rPr>
      </w:pPr>
      <w:r w:rsidRPr="006A79B9">
        <w:rPr>
          <w:rFonts w:ascii="Garamond" w:hAnsi="Garamond" w:cstheme="minorHAnsi"/>
        </w:rPr>
        <w:lastRenderedPageBreak/>
        <w:t xml:space="preserve">Now focusing on the post-intervention period, </w:t>
      </w:r>
      <w:r w:rsidR="00150163">
        <w:rPr>
          <w:rFonts w:ascii="Garamond" w:hAnsi="Garamond" w:cstheme="minorHAnsi"/>
        </w:rPr>
        <w:t xml:space="preserve">we observe a fluctuating pattern of coefficients, although none are statistically significant at p &lt; 0.05. Just one coefficient, for </w:t>
      </w:r>
      <w:proofErr w:type="gramStart"/>
      <w:r w:rsidR="00150163">
        <w:rPr>
          <w:rFonts w:ascii="Garamond" w:hAnsi="Garamond" w:cstheme="minorHAnsi"/>
        </w:rPr>
        <w:t>time period</w:t>
      </w:r>
      <w:proofErr w:type="gramEnd"/>
      <w:r w:rsidR="00150163">
        <w:rPr>
          <w:rFonts w:ascii="Garamond" w:hAnsi="Garamond" w:cstheme="minorHAnsi"/>
        </w:rPr>
        <w:t xml:space="preserve"> 1, is marginally significant (p = 0.095). </w:t>
      </w:r>
      <w:r w:rsidR="00993CF0">
        <w:rPr>
          <w:rFonts w:ascii="Garamond" w:hAnsi="Garamond" w:cstheme="minorHAnsi"/>
        </w:rPr>
        <w:t>As with the DiD results, t</w:t>
      </w:r>
      <w:r w:rsidR="002C1A3D" w:rsidRPr="006A79B9">
        <w:rPr>
          <w:rFonts w:ascii="Garamond" w:hAnsi="Garamond" w:cstheme="minorHAnsi"/>
        </w:rPr>
        <w:t>hese findings</w:t>
      </w:r>
      <w:r w:rsidR="000A23E6">
        <w:rPr>
          <w:rFonts w:ascii="Garamond" w:hAnsi="Garamond" w:cstheme="minorHAnsi"/>
        </w:rPr>
        <w:t xml:space="preserve"> </w:t>
      </w:r>
      <w:r w:rsidR="002C1A3D" w:rsidRPr="006A79B9">
        <w:rPr>
          <w:rFonts w:ascii="Garamond" w:hAnsi="Garamond" w:cstheme="minorHAnsi"/>
        </w:rPr>
        <w:t>suggest that</w:t>
      </w:r>
      <w:r w:rsidRPr="006A79B9">
        <w:rPr>
          <w:rFonts w:ascii="Garamond" w:hAnsi="Garamond" w:cstheme="minorHAnsi"/>
        </w:rPr>
        <w:t xml:space="preserve"> </w:t>
      </w:r>
      <w:r w:rsidR="0063376D" w:rsidRPr="006A79B9">
        <w:rPr>
          <w:rFonts w:ascii="Garamond" w:hAnsi="Garamond" w:cstheme="minorHAnsi"/>
        </w:rPr>
        <w:t xml:space="preserve">the rule change did not prompt an increase in the </w:t>
      </w:r>
      <w:r w:rsidR="002C1A3D" w:rsidRPr="006A79B9">
        <w:rPr>
          <w:rFonts w:ascii="Garamond" w:hAnsi="Garamond" w:cstheme="minorHAnsi"/>
        </w:rPr>
        <w:t>issuance of new FFL licenses</w:t>
      </w:r>
      <w:r w:rsidR="00D3098D" w:rsidRPr="006A79B9">
        <w:rPr>
          <w:rFonts w:ascii="Garamond" w:hAnsi="Garamond" w:cstheme="minorHAnsi"/>
        </w:rPr>
        <w:t xml:space="preserve"> as we </w:t>
      </w:r>
      <w:r w:rsidR="008330B2" w:rsidRPr="006A79B9">
        <w:rPr>
          <w:rFonts w:ascii="Garamond" w:hAnsi="Garamond" w:cstheme="minorHAnsi"/>
        </w:rPr>
        <w:t>hypothesized</w:t>
      </w:r>
      <w:r w:rsidR="00D3098D" w:rsidRPr="006A79B9">
        <w:rPr>
          <w:rFonts w:ascii="Garamond" w:hAnsi="Garamond" w:cstheme="minorHAnsi"/>
        </w:rPr>
        <w:t xml:space="preserve">. </w:t>
      </w:r>
    </w:p>
    <w:p w14:paraId="76BF7F93" w14:textId="77777777" w:rsidR="00BA068B" w:rsidRPr="006A79B9" w:rsidRDefault="00BA068B" w:rsidP="005B7EA7">
      <w:pPr>
        <w:spacing w:line="480" w:lineRule="auto"/>
        <w:jc w:val="both"/>
        <w:rPr>
          <w:rFonts w:ascii="Garamond" w:hAnsi="Garamond" w:cstheme="minorHAnsi"/>
          <w:b/>
          <w:bCs/>
          <w:smallCaps/>
        </w:rPr>
      </w:pPr>
    </w:p>
    <w:p w14:paraId="61BDBD36" w14:textId="3DAA3E9B" w:rsidR="00101DE4" w:rsidRPr="006A79B9" w:rsidRDefault="00101DE4" w:rsidP="005B7EA7">
      <w:pPr>
        <w:widowControl w:val="0"/>
        <w:spacing w:line="480" w:lineRule="auto"/>
        <w:jc w:val="both"/>
        <w:rPr>
          <w:rFonts w:ascii="Garamond" w:hAnsi="Garamond"/>
          <w:b/>
          <w:bCs/>
        </w:rPr>
      </w:pPr>
      <w:r w:rsidRPr="006A79B9">
        <w:rPr>
          <w:rFonts w:ascii="Garamond" w:hAnsi="Garamond"/>
          <w:b/>
          <w:bCs/>
        </w:rPr>
        <w:t>Background Checks</w:t>
      </w:r>
    </w:p>
    <w:p w14:paraId="73797DBC" w14:textId="779AF4AF" w:rsidR="00AF7596" w:rsidRPr="006A79B9" w:rsidRDefault="0067764A" w:rsidP="005B7EA7">
      <w:pPr>
        <w:spacing w:line="480" w:lineRule="auto"/>
        <w:jc w:val="both"/>
        <w:rPr>
          <w:rFonts w:ascii="Garamond" w:hAnsi="Garamond" w:cstheme="minorHAnsi"/>
        </w:rPr>
      </w:pPr>
      <w:r w:rsidRPr="006A79B9">
        <w:rPr>
          <w:rFonts w:ascii="Garamond" w:hAnsi="Garamond" w:cstheme="minorHAnsi"/>
        </w:rPr>
        <w:t>Now turning to</w:t>
      </w:r>
      <w:r w:rsidR="00D6617F" w:rsidRPr="006A79B9">
        <w:rPr>
          <w:rFonts w:ascii="Garamond" w:hAnsi="Garamond" w:cstheme="minorHAnsi"/>
        </w:rPr>
        <w:t xml:space="preserve"> background checks</w:t>
      </w:r>
      <w:r w:rsidR="006158DF" w:rsidRPr="006A79B9">
        <w:rPr>
          <w:rFonts w:ascii="Garamond" w:hAnsi="Garamond" w:cstheme="minorHAnsi"/>
        </w:rPr>
        <w:t xml:space="preserve"> in</w:t>
      </w:r>
      <w:r w:rsidR="005B7EA7">
        <w:rPr>
          <w:rFonts w:ascii="Garamond" w:hAnsi="Garamond" w:cstheme="minorHAnsi"/>
        </w:rPr>
        <w:t xml:space="preserve"> a DiD model in</w:t>
      </w:r>
      <w:r w:rsidR="006158DF" w:rsidRPr="006A79B9">
        <w:rPr>
          <w:rFonts w:ascii="Garamond" w:hAnsi="Garamond" w:cstheme="minorHAnsi"/>
        </w:rPr>
        <w:t xml:space="preserve"> Table </w:t>
      </w:r>
      <w:r w:rsidR="00511088">
        <w:rPr>
          <w:rFonts w:ascii="Garamond" w:hAnsi="Garamond" w:cstheme="minorHAnsi"/>
        </w:rPr>
        <w:t>2</w:t>
      </w:r>
      <w:r w:rsidR="00B86A67" w:rsidRPr="006A79B9">
        <w:rPr>
          <w:rFonts w:ascii="Garamond" w:hAnsi="Garamond" w:cstheme="minorHAnsi"/>
        </w:rPr>
        <w:t xml:space="preserve">, </w:t>
      </w:r>
      <w:r w:rsidR="00AF7596" w:rsidRPr="006A79B9">
        <w:rPr>
          <w:rFonts w:ascii="Garamond" w:hAnsi="Garamond" w:cstheme="minorHAnsi"/>
        </w:rPr>
        <w:t>the estimated coefficient on the treatment variable is 0.0</w:t>
      </w:r>
      <w:r w:rsidR="00114787">
        <w:rPr>
          <w:rFonts w:ascii="Garamond" w:hAnsi="Garamond" w:cstheme="minorHAnsi"/>
        </w:rPr>
        <w:t>04</w:t>
      </w:r>
      <w:r w:rsidR="00AF7596" w:rsidRPr="006A79B9">
        <w:rPr>
          <w:rFonts w:ascii="Garamond" w:hAnsi="Garamond" w:cstheme="minorHAnsi"/>
        </w:rPr>
        <w:t xml:space="preserve"> (SE = 0.0</w:t>
      </w:r>
      <w:r w:rsidR="00114787">
        <w:rPr>
          <w:rFonts w:ascii="Garamond" w:hAnsi="Garamond" w:cstheme="minorHAnsi"/>
        </w:rPr>
        <w:t>20</w:t>
      </w:r>
      <w:r w:rsidR="00AF7596" w:rsidRPr="006A79B9">
        <w:rPr>
          <w:rFonts w:ascii="Garamond" w:hAnsi="Garamond" w:cstheme="minorHAnsi"/>
        </w:rPr>
        <w:t>), indicating a negligible and statistically insignificant change in the expected count of background checks.</w:t>
      </w:r>
      <w:r w:rsidR="00511088">
        <w:rPr>
          <w:rStyle w:val="FootnoteReference"/>
          <w:rFonts w:ascii="Garamond" w:hAnsi="Garamond" w:cstheme="minorHAnsi"/>
        </w:rPr>
        <w:footnoteReference w:id="8"/>
      </w:r>
      <w:r w:rsidR="00AF7596" w:rsidRPr="006A79B9">
        <w:rPr>
          <w:rFonts w:ascii="Garamond" w:hAnsi="Garamond" w:cstheme="minorHAnsi"/>
        </w:rPr>
        <w:t xml:space="preserve"> Hence, we again fail to find support for </w:t>
      </w:r>
      <w:r w:rsidR="00993CF0">
        <w:rPr>
          <w:rFonts w:ascii="Garamond" w:hAnsi="Garamond" w:cstheme="minorHAnsi"/>
        </w:rPr>
        <w:t xml:space="preserve">our </w:t>
      </w:r>
      <w:r w:rsidR="00AF7596" w:rsidRPr="006A79B9">
        <w:rPr>
          <w:rFonts w:ascii="Garamond" w:hAnsi="Garamond" w:cstheme="minorHAnsi"/>
        </w:rPr>
        <w:t xml:space="preserve">hypotheses. The model exhibits strong overall fit (pseudo R² = 0.985), illustrating that the inclusion of state and month-year fixed effects explains nearly </w:t>
      </w:r>
      <w:r w:rsidR="00993CF0" w:rsidRPr="006A79B9">
        <w:rPr>
          <w:rFonts w:ascii="Garamond" w:hAnsi="Garamond" w:cstheme="minorHAnsi"/>
        </w:rPr>
        <w:t>all</w:t>
      </w:r>
      <w:r w:rsidR="00AF7596" w:rsidRPr="006A79B9">
        <w:rPr>
          <w:rFonts w:ascii="Garamond" w:hAnsi="Garamond" w:cstheme="minorHAnsi"/>
        </w:rPr>
        <w:t xml:space="preserve"> the variation in background checks. </w:t>
      </w:r>
    </w:p>
    <w:p w14:paraId="5CDF91FC" w14:textId="77777777" w:rsidR="006858CA" w:rsidRPr="006A79B9" w:rsidRDefault="006858CA" w:rsidP="005B7EA7">
      <w:pPr>
        <w:spacing w:line="480" w:lineRule="auto"/>
        <w:jc w:val="both"/>
        <w:rPr>
          <w:rFonts w:ascii="Garamond" w:hAnsi="Garamond" w:cstheme="minorHAnsi"/>
        </w:rPr>
      </w:pPr>
    </w:p>
    <w:p w14:paraId="2C3C765E" w14:textId="00B23719" w:rsidR="005F4AFC" w:rsidRPr="006A79B9" w:rsidRDefault="005F4AFC" w:rsidP="005F4AFC">
      <w:pPr>
        <w:spacing w:line="240" w:lineRule="auto"/>
        <w:jc w:val="both"/>
        <w:rPr>
          <w:rFonts w:ascii="Garamond" w:hAnsi="Garamond" w:cstheme="minorHAnsi"/>
          <w:b/>
          <w:bCs/>
        </w:rPr>
      </w:pPr>
      <w:r w:rsidRPr="006A79B9">
        <w:rPr>
          <w:rFonts w:ascii="Garamond" w:hAnsi="Garamond" w:cstheme="minorHAnsi"/>
          <w:b/>
          <w:bCs/>
        </w:rPr>
        <w:t xml:space="preserve">Table </w:t>
      </w:r>
      <w:r w:rsidR="00511088">
        <w:rPr>
          <w:rFonts w:ascii="Garamond" w:hAnsi="Garamond" w:cstheme="minorHAnsi"/>
          <w:b/>
          <w:bCs/>
        </w:rPr>
        <w:t>2</w:t>
      </w:r>
      <w:r w:rsidRPr="006A79B9">
        <w:rPr>
          <w:rFonts w:ascii="Garamond" w:hAnsi="Garamond" w:cstheme="minorHAnsi"/>
          <w:b/>
          <w:bCs/>
        </w:rPr>
        <w:t>. D</w:t>
      </w:r>
      <w:r w:rsidR="00F2511E" w:rsidRPr="006A79B9">
        <w:rPr>
          <w:rFonts w:ascii="Garamond" w:hAnsi="Garamond" w:cstheme="minorHAnsi"/>
          <w:b/>
          <w:bCs/>
        </w:rPr>
        <w:t>iD</w:t>
      </w:r>
      <w:r w:rsidRPr="006A79B9">
        <w:rPr>
          <w:rFonts w:ascii="Garamond" w:hAnsi="Garamond" w:cstheme="minorHAnsi"/>
          <w:b/>
          <w:bCs/>
        </w:rPr>
        <w:t xml:space="preserve"> Estimates</w:t>
      </w:r>
      <w:r w:rsidR="00F2511E" w:rsidRPr="006A79B9">
        <w:rPr>
          <w:rFonts w:ascii="Garamond" w:hAnsi="Garamond" w:cstheme="minorHAnsi"/>
          <w:b/>
          <w:bCs/>
        </w:rPr>
        <w:t>: Background Checks</w:t>
      </w:r>
    </w:p>
    <w:tbl>
      <w:tblPr>
        <w:tblW w:w="0" w:type="auto"/>
        <w:tblLayout w:type="fixed"/>
        <w:tblLook w:val="04A0" w:firstRow="1" w:lastRow="0" w:firstColumn="1" w:lastColumn="0" w:noHBand="0" w:noVBand="1"/>
      </w:tblPr>
      <w:tblGrid>
        <w:gridCol w:w="1710"/>
        <w:gridCol w:w="1530"/>
        <w:gridCol w:w="1656"/>
      </w:tblGrid>
      <w:tr w:rsidR="00A946A4" w:rsidRPr="00A946A4" w14:paraId="35CBCD73" w14:textId="77777777" w:rsidTr="002752FB">
        <w:tc>
          <w:tcPr>
            <w:tcW w:w="1710" w:type="dxa"/>
            <w:tcBorders>
              <w:top w:val="single" w:sz="4" w:space="0" w:color="auto"/>
              <w:left w:val="nil"/>
              <w:bottom w:val="nil"/>
              <w:right w:val="nil"/>
            </w:tcBorders>
          </w:tcPr>
          <w:p w14:paraId="092D0DF6" w14:textId="77777777" w:rsidR="00A946A4" w:rsidRPr="00A946A4" w:rsidRDefault="00A946A4" w:rsidP="00A946A4">
            <w:pPr>
              <w:spacing w:line="240" w:lineRule="auto"/>
              <w:jc w:val="both"/>
              <w:rPr>
                <w:rFonts w:ascii="Garamond" w:hAnsi="Garamond" w:cstheme="minorHAnsi"/>
              </w:rPr>
            </w:pPr>
          </w:p>
        </w:tc>
        <w:tc>
          <w:tcPr>
            <w:tcW w:w="1530" w:type="dxa"/>
            <w:tcBorders>
              <w:top w:val="single" w:sz="4" w:space="0" w:color="auto"/>
              <w:left w:val="nil"/>
              <w:bottom w:val="nil"/>
              <w:right w:val="nil"/>
            </w:tcBorders>
            <w:hideMark/>
          </w:tcPr>
          <w:p w14:paraId="207D4460" w14:textId="4B88D6AB" w:rsidR="00A946A4" w:rsidRPr="00A946A4" w:rsidRDefault="00A946A4" w:rsidP="00A946A4">
            <w:pPr>
              <w:spacing w:line="240" w:lineRule="auto"/>
              <w:jc w:val="both"/>
              <w:rPr>
                <w:rFonts w:ascii="Garamond" w:hAnsi="Garamond" w:cstheme="minorHAnsi"/>
              </w:rPr>
            </w:pPr>
            <w:r w:rsidRPr="006A79B9">
              <w:rPr>
                <w:rFonts w:ascii="Garamond" w:hAnsi="Garamond" w:cstheme="minorHAnsi"/>
              </w:rPr>
              <w:t>Coef.</w:t>
            </w:r>
          </w:p>
        </w:tc>
        <w:tc>
          <w:tcPr>
            <w:tcW w:w="1656" w:type="dxa"/>
            <w:tcBorders>
              <w:top w:val="single" w:sz="4" w:space="0" w:color="auto"/>
              <w:left w:val="nil"/>
              <w:bottom w:val="nil"/>
              <w:right w:val="nil"/>
            </w:tcBorders>
          </w:tcPr>
          <w:p w14:paraId="00B4DE96" w14:textId="3E955529" w:rsidR="00A946A4" w:rsidRPr="00A946A4" w:rsidRDefault="00A946A4" w:rsidP="00A946A4">
            <w:pPr>
              <w:spacing w:line="240" w:lineRule="auto"/>
              <w:jc w:val="both"/>
              <w:rPr>
                <w:rFonts w:ascii="Garamond" w:hAnsi="Garamond" w:cstheme="minorHAnsi"/>
              </w:rPr>
            </w:pPr>
            <w:r w:rsidRPr="006A79B9">
              <w:rPr>
                <w:rFonts w:ascii="Garamond" w:hAnsi="Garamond" w:cstheme="minorHAnsi"/>
              </w:rPr>
              <w:t>Std. Err.</w:t>
            </w:r>
          </w:p>
        </w:tc>
      </w:tr>
      <w:tr w:rsidR="00A946A4" w:rsidRPr="00A946A4" w14:paraId="45A88032" w14:textId="77777777" w:rsidTr="002752FB">
        <w:tc>
          <w:tcPr>
            <w:tcW w:w="1710" w:type="dxa"/>
            <w:tcBorders>
              <w:top w:val="single" w:sz="4" w:space="0" w:color="auto"/>
              <w:left w:val="nil"/>
              <w:bottom w:val="nil"/>
              <w:right w:val="nil"/>
            </w:tcBorders>
            <w:hideMark/>
          </w:tcPr>
          <w:p w14:paraId="72D9B062" w14:textId="6655F9B6" w:rsidR="00A946A4" w:rsidRPr="00A946A4" w:rsidRDefault="00A946A4" w:rsidP="00A946A4">
            <w:pPr>
              <w:spacing w:line="240" w:lineRule="auto"/>
              <w:jc w:val="both"/>
              <w:rPr>
                <w:rFonts w:ascii="Garamond" w:hAnsi="Garamond" w:cstheme="minorHAnsi"/>
              </w:rPr>
            </w:pPr>
            <w:r w:rsidRPr="006A79B9">
              <w:rPr>
                <w:rFonts w:ascii="Garamond" w:hAnsi="Garamond" w:cstheme="minorHAnsi"/>
              </w:rPr>
              <w:t>T</w:t>
            </w:r>
            <w:r w:rsidRPr="00A946A4">
              <w:rPr>
                <w:rFonts w:ascii="Garamond" w:hAnsi="Garamond" w:cstheme="minorHAnsi"/>
              </w:rPr>
              <w:t>reat</w:t>
            </w:r>
          </w:p>
        </w:tc>
        <w:tc>
          <w:tcPr>
            <w:tcW w:w="1530" w:type="dxa"/>
            <w:tcBorders>
              <w:top w:val="single" w:sz="4" w:space="0" w:color="auto"/>
              <w:left w:val="nil"/>
              <w:bottom w:val="nil"/>
              <w:right w:val="nil"/>
            </w:tcBorders>
            <w:hideMark/>
          </w:tcPr>
          <w:p w14:paraId="24508EDF" w14:textId="05AD19DD" w:rsidR="00A946A4" w:rsidRPr="00A946A4" w:rsidRDefault="00A946A4" w:rsidP="00A946A4">
            <w:pPr>
              <w:spacing w:line="240" w:lineRule="auto"/>
              <w:jc w:val="both"/>
              <w:rPr>
                <w:rFonts w:ascii="Garamond" w:hAnsi="Garamond" w:cstheme="minorHAnsi"/>
              </w:rPr>
            </w:pPr>
            <w:r w:rsidRPr="00A946A4">
              <w:rPr>
                <w:rFonts w:ascii="Garamond" w:hAnsi="Garamond" w:cstheme="minorHAnsi"/>
              </w:rPr>
              <w:t>0.0</w:t>
            </w:r>
            <w:r w:rsidR="004869C4">
              <w:rPr>
                <w:rFonts w:ascii="Garamond" w:hAnsi="Garamond" w:cstheme="minorHAnsi"/>
              </w:rPr>
              <w:t>04</w:t>
            </w:r>
          </w:p>
        </w:tc>
        <w:tc>
          <w:tcPr>
            <w:tcW w:w="1656" w:type="dxa"/>
            <w:tcBorders>
              <w:top w:val="single" w:sz="4" w:space="0" w:color="auto"/>
              <w:left w:val="nil"/>
              <w:bottom w:val="nil"/>
              <w:right w:val="nil"/>
            </w:tcBorders>
            <w:hideMark/>
          </w:tcPr>
          <w:p w14:paraId="08E600B2" w14:textId="5CC5E2B7" w:rsidR="00A946A4" w:rsidRDefault="00A946A4" w:rsidP="00A946A4">
            <w:pPr>
              <w:spacing w:line="240" w:lineRule="auto"/>
              <w:jc w:val="both"/>
              <w:rPr>
                <w:rFonts w:ascii="Garamond" w:hAnsi="Garamond" w:cstheme="minorHAnsi"/>
              </w:rPr>
            </w:pPr>
            <w:r w:rsidRPr="00A946A4">
              <w:rPr>
                <w:rFonts w:ascii="Garamond" w:hAnsi="Garamond" w:cstheme="minorHAnsi"/>
              </w:rPr>
              <w:t>0.0</w:t>
            </w:r>
            <w:r w:rsidR="004869C4">
              <w:rPr>
                <w:rFonts w:ascii="Garamond" w:hAnsi="Garamond" w:cstheme="minorHAnsi"/>
              </w:rPr>
              <w:t>20</w:t>
            </w:r>
          </w:p>
          <w:p w14:paraId="4DD87AC5" w14:textId="77777777" w:rsidR="006A79B9" w:rsidRPr="006A79B9" w:rsidRDefault="006A79B9" w:rsidP="00A946A4">
            <w:pPr>
              <w:spacing w:line="240" w:lineRule="auto"/>
              <w:jc w:val="both"/>
              <w:rPr>
                <w:rFonts w:ascii="Garamond" w:hAnsi="Garamond" w:cstheme="minorHAnsi"/>
              </w:rPr>
            </w:pPr>
          </w:p>
          <w:p w14:paraId="4185D0D0" w14:textId="77777777" w:rsidR="00126168" w:rsidRPr="00A946A4" w:rsidRDefault="00126168" w:rsidP="00A946A4">
            <w:pPr>
              <w:spacing w:line="240" w:lineRule="auto"/>
              <w:jc w:val="both"/>
              <w:rPr>
                <w:rFonts w:ascii="Garamond" w:hAnsi="Garamond" w:cstheme="minorHAnsi"/>
              </w:rPr>
            </w:pPr>
          </w:p>
        </w:tc>
      </w:tr>
      <w:tr w:rsidR="00A946A4" w:rsidRPr="00A946A4" w14:paraId="07AA631B" w14:textId="77777777" w:rsidTr="002752FB">
        <w:tc>
          <w:tcPr>
            <w:tcW w:w="1710" w:type="dxa"/>
            <w:tcBorders>
              <w:top w:val="nil"/>
              <w:left w:val="nil"/>
              <w:bottom w:val="single" w:sz="4" w:space="0" w:color="auto"/>
              <w:right w:val="nil"/>
            </w:tcBorders>
            <w:hideMark/>
          </w:tcPr>
          <w:p w14:paraId="6C4AE6B0" w14:textId="77777777" w:rsidR="00A946A4" w:rsidRPr="00A946A4" w:rsidRDefault="00A946A4" w:rsidP="00A946A4">
            <w:pPr>
              <w:spacing w:line="240" w:lineRule="auto"/>
              <w:jc w:val="both"/>
              <w:rPr>
                <w:rFonts w:ascii="Garamond" w:hAnsi="Garamond" w:cstheme="minorHAnsi"/>
              </w:rPr>
            </w:pPr>
            <w:r w:rsidRPr="00A946A4">
              <w:rPr>
                <w:rFonts w:ascii="Garamond" w:hAnsi="Garamond" w:cstheme="minorHAnsi"/>
              </w:rPr>
              <w:t>Constant</w:t>
            </w:r>
          </w:p>
        </w:tc>
        <w:tc>
          <w:tcPr>
            <w:tcW w:w="1530" w:type="dxa"/>
            <w:tcBorders>
              <w:top w:val="nil"/>
              <w:left w:val="nil"/>
              <w:bottom w:val="single" w:sz="4" w:space="0" w:color="auto"/>
              <w:right w:val="nil"/>
            </w:tcBorders>
            <w:hideMark/>
          </w:tcPr>
          <w:p w14:paraId="1080D6B1" w14:textId="2E975F7F" w:rsidR="00A946A4" w:rsidRPr="00A946A4" w:rsidRDefault="00A946A4" w:rsidP="00A946A4">
            <w:pPr>
              <w:spacing w:line="240" w:lineRule="auto"/>
              <w:jc w:val="both"/>
              <w:rPr>
                <w:rFonts w:ascii="Garamond" w:hAnsi="Garamond" w:cstheme="minorHAnsi"/>
              </w:rPr>
            </w:pPr>
            <w:r w:rsidRPr="00A946A4">
              <w:rPr>
                <w:rFonts w:ascii="Garamond" w:hAnsi="Garamond" w:cstheme="minorHAnsi"/>
              </w:rPr>
              <w:t>10.35</w:t>
            </w:r>
            <w:r w:rsidR="004869C4">
              <w:rPr>
                <w:rFonts w:ascii="Garamond" w:hAnsi="Garamond" w:cstheme="minorHAnsi"/>
              </w:rPr>
              <w:t>2</w:t>
            </w:r>
            <w:r w:rsidRPr="00A946A4">
              <w:rPr>
                <w:rFonts w:ascii="Garamond" w:hAnsi="Garamond" w:cstheme="minorHAnsi"/>
                <w:vertAlign w:val="superscript"/>
              </w:rPr>
              <w:t>***</w:t>
            </w:r>
          </w:p>
        </w:tc>
        <w:tc>
          <w:tcPr>
            <w:tcW w:w="1656" w:type="dxa"/>
            <w:tcBorders>
              <w:top w:val="nil"/>
              <w:left w:val="nil"/>
              <w:bottom w:val="single" w:sz="4" w:space="0" w:color="auto"/>
              <w:right w:val="nil"/>
            </w:tcBorders>
            <w:hideMark/>
          </w:tcPr>
          <w:p w14:paraId="39B8F561" w14:textId="00375CE3" w:rsidR="00A946A4" w:rsidRPr="00A946A4" w:rsidRDefault="00A946A4" w:rsidP="00A946A4">
            <w:pPr>
              <w:spacing w:line="240" w:lineRule="auto"/>
              <w:jc w:val="both"/>
              <w:rPr>
                <w:rFonts w:ascii="Garamond" w:hAnsi="Garamond" w:cstheme="minorHAnsi"/>
              </w:rPr>
            </w:pPr>
            <w:r w:rsidRPr="00A946A4">
              <w:rPr>
                <w:rFonts w:ascii="Garamond" w:hAnsi="Garamond" w:cstheme="minorHAnsi"/>
              </w:rPr>
              <w:t>0.00</w:t>
            </w:r>
            <w:r w:rsidR="004869C4">
              <w:rPr>
                <w:rFonts w:ascii="Garamond" w:hAnsi="Garamond" w:cstheme="minorHAnsi"/>
              </w:rPr>
              <w:t>6</w:t>
            </w:r>
          </w:p>
        </w:tc>
      </w:tr>
      <w:tr w:rsidR="00A946A4" w:rsidRPr="00A946A4" w14:paraId="07091F3C" w14:textId="77777777" w:rsidTr="002752FB">
        <w:tc>
          <w:tcPr>
            <w:tcW w:w="1710" w:type="dxa"/>
            <w:tcBorders>
              <w:top w:val="nil"/>
              <w:left w:val="nil"/>
              <w:bottom w:val="single" w:sz="4" w:space="0" w:color="auto"/>
              <w:right w:val="nil"/>
            </w:tcBorders>
            <w:hideMark/>
          </w:tcPr>
          <w:p w14:paraId="5237C22A" w14:textId="77777777" w:rsidR="00A946A4" w:rsidRPr="006A79B9" w:rsidRDefault="00A946A4" w:rsidP="00A946A4">
            <w:pPr>
              <w:spacing w:line="240" w:lineRule="auto"/>
              <w:jc w:val="both"/>
              <w:rPr>
                <w:rFonts w:ascii="Garamond" w:hAnsi="Garamond" w:cstheme="minorHAnsi"/>
              </w:rPr>
            </w:pPr>
            <w:r w:rsidRPr="00A946A4">
              <w:rPr>
                <w:rFonts w:ascii="Garamond" w:hAnsi="Garamond" w:cstheme="minorHAnsi"/>
              </w:rPr>
              <w:t>Observations</w:t>
            </w:r>
          </w:p>
          <w:p w14:paraId="2EA8C69F" w14:textId="09634DC5" w:rsidR="00A946A4" w:rsidRPr="00A946A4" w:rsidRDefault="00A946A4" w:rsidP="00A946A4">
            <w:pPr>
              <w:spacing w:line="240" w:lineRule="auto"/>
              <w:jc w:val="both"/>
              <w:rPr>
                <w:rFonts w:ascii="Garamond" w:hAnsi="Garamond" w:cstheme="minorHAnsi"/>
              </w:rPr>
            </w:pPr>
            <w:r w:rsidRPr="006A79B9">
              <w:rPr>
                <w:rFonts w:ascii="Garamond" w:hAnsi="Garamond" w:cstheme="minorHAnsi"/>
              </w:rPr>
              <w:t>Clusters</w:t>
            </w:r>
          </w:p>
        </w:tc>
        <w:tc>
          <w:tcPr>
            <w:tcW w:w="1530" w:type="dxa"/>
            <w:tcBorders>
              <w:top w:val="nil"/>
              <w:left w:val="nil"/>
              <w:bottom w:val="single" w:sz="4" w:space="0" w:color="auto"/>
              <w:right w:val="nil"/>
            </w:tcBorders>
            <w:hideMark/>
          </w:tcPr>
          <w:p w14:paraId="121FD153" w14:textId="409AD626" w:rsidR="00A946A4" w:rsidRPr="006A79B9" w:rsidRDefault="00A946A4" w:rsidP="00A946A4">
            <w:pPr>
              <w:spacing w:line="240" w:lineRule="auto"/>
              <w:jc w:val="both"/>
              <w:rPr>
                <w:rFonts w:ascii="Garamond" w:hAnsi="Garamond" w:cstheme="minorHAnsi"/>
              </w:rPr>
            </w:pPr>
            <w:r w:rsidRPr="00A946A4">
              <w:rPr>
                <w:rFonts w:ascii="Garamond" w:hAnsi="Garamond" w:cstheme="minorHAnsi"/>
              </w:rPr>
              <w:t>11</w:t>
            </w:r>
            <w:r w:rsidR="009E28FF">
              <w:rPr>
                <w:rFonts w:ascii="Garamond" w:hAnsi="Garamond" w:cstheme="minorHAnsi"/>
              </w:rPr>
              <w:t>50</w:t>
            </w:r>
          </w:p>
          <w:p w14:paraId="1BD88400" w14:textId="55B279CF" w:rsidR="00A946A4" w:rsidRPr="00A946A4" w:rsidRDefault="00A946A4" w:rsidP="00A946A4">
            <w:pPr>
              <w:spacing w:line="240" w:lineRule="auto"/>
              <w:jc w:val="both"/>
              <w:rPr>
                <w:rFonts w:ascii="Garamond" w:hAnsi="Garamond" w:cstheme="minorHAnsi"/>
              </w:rPr>
            </w:pPr>
            <w:r w:rsidRPr="006A79B9">
              <w:rPr>
                <w:rFonts w:ascii="Garamond" w:hAnsi="Garamond" w:cstheme="minorHAnsi"/>
              </w:rPr>
              <w:t>46</w:t>
            </w:r>
          </w:p>
        </w:tc>
        <w:tc>
          <w:tcPr>
            <w:tcW w:w="1656" w:type="dxa"/>
            <w:tcBorders>
              <w:top w:val="nil"/>
              <w:left w:val="nil"/>
              <w:bottom w:val="single" w:sz="4" w:space="0" w:color="auto"/>
              <w:right w:val="nil"/>
            </w:tcBorders>
          </w:tcPr>
          <w:p w14:paraId="5C4CBD5A" w14:textId="77777777" w:rsidR="00A946A4" w:rsidRPr="00A946A4" w:rsidRDefault="00A946A4" w:rsidP="00A946A4">
            <w:pPr>
              <w:spacing w:line="240" w:lineRule="auto"/>
              <w:jc w:val="both"/>
              <w:rPr>
                <w:rFonts w:ascii="Garamond" w:hAnsi="Garamond" w:cstheme="minorHAnsi"/>
              </w:rPr>
            </w:pPr>
          </w:p>
        </w:tc>
      </w:tr>
    </w:tbl>
    <w:p w14:paraId="7BEC63D9" w14:textId="77777777" w:rsidR="002752FB" w:rsidRPr="006A79B9" w:rsidRDefault="00A946A4" w:rsidP="00A946A4">
      <w:pPr>
        <w:spacing w:line="240" w:lineRule="auto"/>
        <w:jc w:val="both"/>
        <w:rPr>
          <w:rFonts w:ascii="Garamond" w:hAnsi="Garamond" w:cs="Courier New"/>
        </w:rPr>
      </w:pPr>
      <w:r w:rsidRPr="006A79B9">
        <w:rPr>
          <w:rFonts w:ascii="Garamond" w:hAnsi="Garamond" w:cstheme="minorHAnsi"/>
        </w:rPr>
        <w:t xml:space="preserve">Notes: </w:t>
      </w:r>
      <w:r w:rsidRPr="006A79B9">
        <w:rPr>
          <w:rFonts w:ascii="Garamond" w:hAnsi="Garamond" w:cs="Courier New"/>
        </w:rPr>
        <w:t xml:space="preserve">Poisson Pseudo-Maximum Likelihood model. </w:t>
      </w:r>
    </w:p>
    <w:p w14:paraId="22662BE9" w14:textId="77777777" w:rsidR="002752FB" w:rsidRPr="006A79B9" w:rsidRDefault="00A946A4" w:rsidP="00A946A4">
      <w:pPr>
        <w:spacing w:line="240" w:lineRule="auto"/>
        <w:jc w:val="both"/>
        <w:rPr>
          <w:rFonts w:ascii="Garamond" w:hAnsi="Garamond" w:cstheme="minorHAnsi"/>
        </w:rPr>
      </w:pPr>
      <w:r w:rsidRPr="006A79B9">
        <w:rPr>
          <w:rFonts w:ascii="Garamond" w:hAnsi="Garamond" w:cs="Courier New"/>
        </w:rPr>
        <w:t>S</w:t>
      </w:r>
      <w:r w:rsidRPr="006A79B9">
        <w:rPr>
          <w:rFonts w:ascii="Garamond" w:hAnsi="Garamond" w:cstheme="minorHAnsi"/>
        </w:rPr>
        <w:t>tandard errors</w:t>
      </w:r>
      <w:r w:rsidR="002752FB" w:rsidRPr="006A79B9">
        <w:rPr>
          <w:rFonts w:ascii="Garamond" w:hAnsi="Garamond" w:cstheme="minorHAnsi"/>
        </w:rPr>
        <w:t xml:space="preserve"> </w:t>
      </w:r>
      <w:r w:rsidRPr="006A79B9">
        <w:rPr>
          <w:rFonts w:ascii="Garamond" w:hAnsi="Garamond" w:cstheme="minorHAnsi"/>
        </w:rPr>
        <w:t xml:space="preserve">clustered by state. </w:t>
      </w:r>
    </w:p>
    <w:p w14:paraId="50B4696B" w14:textId="4AFB367D" w:rsidR="00A946A4" w:rsidRPr="006A79B9" w:rsidRDefault="00A946A4" w:rsidP="00A946A4">
      <w:pPr>
        <w:spacing w:line="240" w:lineRule="auto"/>
        <w:jc w:val="both"/>
        <w:rPr>
          <w:rFonts w:ascii="Garamond" w:hAnsi="Garamond" w:cstheme="minorHAnsi"/>
        </w:rPr>
      </w:pP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0.05, </w:t>
      </w: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0.01, </w:t>
      </w: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0.001</w:t>
      </w:r>
    </w:p>
    <w:p w14:paraId="59D81549" w14:textId="343D1366" w:rsidR="00A946A4" w:rsidRPr="006A79B9" w:rsidRDefault="00A946A4" w:rsidP="00B86A67">
      <w:pPr>
        <w:spacing w:line="240" w:lineRule="auto"/>
        <w:jc w:val="both"/>
        <w:rPr>
          <w:rFonts w:ascii="Garamond" w:hAnsi="Garamond" w:cstheme="minorHAnsi"/>
        </w:rPr>
      </w:pPr>
    </w:p>
    <w:p w14:paraId="3B1D74FA" w14:textId="77777777" w:rsidR="00A946A4" w:rsidRPr="006A79B9" w:rsidRDefault="00A946A4" w:rsidP="00B86A67">
      <w:pPr>
        <w:spacing w:line="240" w:lineRule="auto"/>
        <w:jc w:val="both"/>
        <w:rPr>
          <w:rFonts w:ascii="Garamond" w:hAnsi="Garamond" w:cstheme="minorHAnsi"/>
        </w:rPr>
      </w:pPr>
    </w:p>
    <w:p w14:paraId="732B5147" w14:textId="31994CAF" w:rsidR="00A976E0" w:rsidRDefault="006858CA">
      <w:pPr>
        <w:spacing w:line="480" w:lineRule="auto"/>
        <w:ind w:firstLine="720"/>
        <w:jc w:val="both"/>
        <w:rPr>
          <w:rFonts w:ascii="Garamond" w:hAnsi="Garamond" w:cstheme="minorHAnsi"/>
        </w:rPr>
      </w:pPr>
      <w:r w:rsidRPr="006A79B9">
        <w:rPr>
          <w:rFonts w:ascii="Garamond" w:hAnsi="Garamond" w:cstheme="minorHAnsi"/>
        </w:rPr>
        <w:t xml:space="preserve">Turning to our event study, </w:t>
      </w:r>
      <w:r w:rsidR="00B86A67" w:rsidRPr="006A79B9">
        <w:rPr>
          <w:rFonts w:ascii="Garamond" w:hAnsi="Garamond" w:cstheme="minorHAnsi"/>
        </w:rPr>
        <w:t>results are show</w:t>
      </w:r>
      <w:r w:rsidRPr="006A79B9">
        <w:rPr>
          <w:rFonts w:ascii="Garamond" w:hAnsi="Garamond" w:cstheme="minorHAnsi"/>
        </w:rPr>
        <w:t>n</w:t>
      </w:r>
      <w:r w:rsidR="00B86A67" w:rsidRPr="006A79B9">
        <w:rPr>
          <w:rFonts w:ascii="Garamond" w:hAnsi="Garamond" w:cstheme="minorHAnsi"/>
        </w:rPr>
        <w:t xml:space="preserve"> visually in Figure </w:t>
      </w:r>
      <w:r w:rsidR="00A52486">
        <w:rPr>
          <w:rFonts w:ascii="Garamond" w:hAnsi="Garamond" w:cstheme="minorHAnsi"/>
        </w:rPr>
        <w:t>5</w:t>
      </w:r>
      <w:r w:rsidR="00B86A67" w:rsidRPr="006A79B9">
        <w:rPr>
          <w:rFonts w:ascii="Garamond" w:hAnsi="Garamond" w:cstheme="minorHAnsi"/>
        </w:rPr>
        <w:t>, with the full model results show</w:t>
      </w:r>
      <w:r w:rsidRPr="006A79B9">
        <w:rPr>
          <w:rFonts w:ascii="Garamond" w:hAnsi="Garamond" w:cstheme="minorHAnsi"/>
        </w:rPr>
        <w:t>n</w:t>
      </w:r>
      <w:r w:rsidR="00B86A67" w:rsidRPr="006A79B9">
        <w:rPr>
          <w:rFonts w:ascii="Garamond" w:hAnsi="Garamond" w:cstheme="minorHAnsi"/>
        </w:rPr>
        <w:t xml:space="preserve"> in </w:t>
      </w:r>
      <w:r w:rsidR="00BD7F3C" w:rsidRPr="006A79B9">
        <w:rPr>
          <w:rFonts w:ascii="Garamond" w:hAnsi="Garamond" w:cstheme="minorHAnsi"/>
        </w:rPr>
        <w:t xml:space="preserve">Appendix </w:t>
      </w:r>
      <w:r w:rsidR="00B86A67" w:rsidRPr="006A79B9">
        <w:rPr>
          <w:rFonts w:ascii="Garamond" w:hAnsi="Garamond" w:cstheme="minorHAnsi"/>
        </w:rPr>
        <w:t xml:space="preserve">Table </w:t>
      </w:r>
      <w:r w:rsidR="00C110BE">
        <w:rPr>
          <w:rFonts w:ascii="Garamond" w:hAnsi="Garamond" w:cstheme="minorHAnsi"/>
        </w:rPr>
        <w:t>A</w:t>
      </w:r>
      <w:r w:rsidR="00BD7F3C" w:rsidRPr="006A79B9">
        <w:rPr>
          <w:rFonts w:ascii="Garamond" w:hAnsi="Garamond" w:cstheme="minorHAnsi"/>
        </w:rPr>
        <w:t>2</w:t>
      </w:r>
      <w:r w:rsidR="00B86A67" w:rsidRPr="006A79B9">
        <w:rPr>
          <w:rFonts w:ascii="Garamond" w:hAnsi="Garamond" w:cstheme="minorHAnsi"/>
        </w:rPr>
        <w:t>.</w:t>
      </w:r>
      <w:r w:rsidR="003646A2">
        <w:rPr>
          <w:rFonts w:ascii="Garamond" w:hAnsi="Garamond" w:cstheme="minorHAnsi"/>
        </w:rPr>
        <w:t xml:space="preserve"> </w:t>
      </w:r>
      <w:r w:rsidR="00A976E0">
        <w:rPr>
          <w:rFonts w:ascii="Garamond" w:hAnsi="Garamond" w:cstheme="minorHAnsi"/>
        </w:rPr>
        <w:t xml:space="preserve">Arguably the most visually stark finding </w:t>
      </w:r>
      <w:r w:rsidR="00205FE1">
        <w:rPr>
          <w:rFonts w:ascii="Garamond" w:hAnsi="Garamond" w:cstheme="minorHAnsi"/>
        </w:rPr>
        <w:t>is</w:t>
      </w:r>
      <w:r w:rsidR="00A976E0">
        <w:rPr>
          <w:rFonts w:ascii="Garamond" w:hAnsi="Garamond" w:cstheme="minorHAnsi"/>
        </w:rPr>
        <w:t xml:space="preserve"> the increase in background checks in treated states relative to control states exactly 12 months apart, in months -6 and -5 and </w:t>
      </w:r>
      <w:r w:rsidR="00A976E0">
        <w:rPr>
          <w:rFonts w:ascii="Garamond" w:hAnsi="Garamond" w:cstheme="minorHAnsi"/>
        </w:rPr>
        <w:lastRenderedPageBreak/>
        <w:t>again in months 6 and 7. These months correspond to November and December 2023 (pre-treatment) and November and December 2024 (post-treatment).</w:t>
      </w:r>
      <w:r w:rsidR="00205FE1">
        <w:rPr>
          <w:rFonts w:ascii="Garamond" w:hAnsi="Garamond" w:cstheme="minorHAnsi"/>
        </w:rPr>
        <w:t xml:space="preserve"> As noted earlier, the month-year fixed effects in the model account for seasonality common to both the treatment and control group. However, </w:t>
      </w:r>
      <w:r w:rsidR="005F5FC7">
        <w:rPr>
          <w:rFonts w:ascii="Garamond" w:hAnsi="Garamond" w:cstheme="minorHAnsi"/>
        </w:rPr>
        <w:t xml:space="preserve">as visually suggested by the raw seasonal patterns displayed in Figure </w:t>
      </w:r>
      <w:r w:rsidR="00A52486">
        <w:rPr>
          <w:rFonts w:ascii="Garamond" w:hAnsi="Garamond" w:cstheme="minorHAnsi"/>
        </w:rPr>
        <w:t>3</w:t>
      </w:r>
      <w:r w:rsidR="005F5FC7">
        <w:rPr>
          <w:rFonts w:ascii="Garamond" w:hAnsi="Garamond" w:cstheme="minorHAnsi"/>
        </w:rPr>
        <w:t xml:space="preserve">, </w:t>
      </w:r>
      <w:r w:rsidR="00205FE1">
        <w:rPr>
          <w:rFonts w:ascii="Garamond" w:hAnsi="Garamond" w:cstheme="minorHAnsi"/>
        </w:rPr>
        <w:t xml:space="preserve">it may be the case that there are differential seasonality patterns not picked up by the model, such as a huge spike in firearm sales in treated states </w:t>
      </w:r>
      <w:r w:rsidR="001E50F7">
        <w:rPr>
          <w:rFonts w:ascii="Garamond" w:hAnsi="Garamond" w:cstheme="minorHAnsi"/>
        </w:rPr>
        <w:t xml:space="preserve">during the holidays </w:t>
      </w:r>
      <w:r w:rsidR="00205FE1">
        <w:rPr>
          <w:rFonts w:ascii="Garamond" w:hAnsi="Garamond" w:cstheme="minorHAnsi"/>
        </w:rPr>
        <w:t xml:space="preserve">without an equivalent spike in control states. After </w:t>
      </w:r>
      <w:r w:rsidR="00E727FB">
        <w:rPr>
          <w:rFonts w:ascii="Garamond" w:hAnsi="Garamond" w:cstheme="minorHAnsi"/>
        </w:rPr>
        <w:t xml:space="preserve">further </w:t>
      </w:r>
      <w:r w:rsidR="00205FE1">
        <w:rPr>
          <w:rFonts w:ascii="Garamond" w:hAnsi="Garamond" w:cstheme="minorHAnsi"/>
        </w:rPr>
        <w:t>discussing findings related to the pre- and post-intervention periods, we will return to this point.</w:t>
      </w:r>
      <w:r w:rsidR="00A976E0">
        <w:rPr>
          <w:rFonts w:ascii="Garamond" w:hAnsi="Garamond" w:cstheme="minorHAnsi"/>
        </w:rPr>
        <w:t xml:space="preserve"> </w:t>
      </w:r>
    </w:p>
    <w:p w14:paraId="16DB68DA" w14:textId="0EA9E7F8" w:rsidR="00A90DDF" w:rsidRPr="006A79B9" w:rsidRDefault="00B86A67" w:rsidP="00A976E0">
      <w:pPr>
        <w:spacing w:line="480" w:lineRule="auto"/>
        <w:ind w:firstLine="720"/>
        <w:jc w:val="both"/>
        <w:rPr>
          <w:rFonts w:ascii="Garamond" w:hAnsi="Garamond" w:cstheme="minorHAnsi"/>
        </w:rPr>
      </w:pPr>
      <w:r w:rsidRPr="006A79B9">
        <w:rPr>
          <w:rFonts w:ascii="Garamond" w:hAnsi="Garamond" w:cstheme="minorHAnsi"/>
        </w:rPr>
        <w:t xml:space="preserve">Focusing on the pre-intervention leads, we see </w:t>
      </w:r>
      <w:r w:rsidR="009E1701">
        <w:rPr>
          <w:rFonts w:ascii="Garamond" w:hAnsi="Garamond" w:cstheme="minorHAnsi"/>
        </w:rPr>
        <w:t xml:space="preserve">in all pre-treatment months </w:t>
      </w:r>
      <w:r w:rsidR="00114787">
        <w:rPr>
          <w:rFonts w:ascii="Garamond" w:hAnsi="Garamond" w:cstheme="minorHAnsi"/>
        </w:rPr>
        <w:t>positive</w:t>
      </w:r>
      <w:r w:rsidR="009E1701">
        <w:rPr>
          <w:rFonts w:ascii="Garamond" w:hAnsi="Garamond" w:cstheme="minorHAnsi"/>
        </w:rPr>
        <w:t xml:space="preserve"> point estimate</w:t>
      </w:r>
      <w:r w:rsidR="00114787">
        <w:rPr>
          <w:rFonts w:ascii="Garamond" w:hAnsi="Garamond" w:cstheme="minorHAnsi"/>
        </w:rPr>
        <w:t>s</w:t>
      </w:r>
      <w:r w:rsidR="009E1701">
        <w:rPr>
          <w:rFonts w:ascii="Garamond" w:hAnsi="Garamond" w:cstheme="minorHAnsi"/>
        </w:rPr>
        <w:t>, and several of the pre-treatment coefficients are statistically significant</w:t>
      </w:r>
      <w:r w:rsidR="00205FE1">
        <w:rPr>
          <w:rFonts w:ascii="Garamond" w:hAnsi="Garamond" w:cstheme="minorHAnsi"/>
        </w:rPr>
        <w:t>, notably months -6 and -5</w:t>
      </w:r>
      <w:r w:rsidR="009E1701">
        <w:rPr>
          <w:rFonts w:ascii="Garamond" w:hAnsi="Garamond" w:cstheme="minorHAnsi"/>
        </w:rPr>
        <w:t xml:space="preserve">. This suggests, in </w:t>
      </w:r>
      <w:r w:rsidR="002570D0">
        <w:rPr>
          <w:rFonts w:ascii="Garamond" w:hAnsi="Garamond" w:cstheme="minorHAnsi"/>
        </w:rPr>
        <w:t>likely</w:t>
      </w:r>
      <w:r w:rsidR="009E1701">
        <w:rPr>
          <w:rFonts w:ascii="Garamond" w:hAnsi="Garamond" w:cstheme="minorHAnsi"/>
        </w:rPr>
        <w:t xml:space="preserve"> violation of the parallel trends assumption, that prior to the loophole rule change, background checks in the treated states were already </w:t>
      </w:r>
      <w:r w:rsidR="00114787">
        <w:rPr>
          <w:rFonts w:ascii="Garamond" w:hAnsi="Garamond" w:cstheme="minorHAnsi"/>
        </w:rPr>
        <w:t>in</w:t>
      </w:r>
      <w:r w:rsidR="009E1701">
        <w:rPr>
          <w:rFonts w:ascii="Garamond" w:hAnsi="Garamond" w:cstheme="minorHAnsi"/>
        </w:rPr>
        <w:t xml:space="preserve">creasing relative to control states. </w:t>
      </w:r>
      <w:r w:rsidR="00A90DDF" w:rsidRPr="006A79B9">
        <w:rPr>
          <w:rFonts w:ascii="Garamond" w:hAnsi="Garamond" w:cstheme="minorHAnsi"/>
        </w:rPr>
        <w:t xml:space="preserve">In the absence of parallel trends before the rule change went into effect, we should be cautious in our interpretations of the effect of the rule change on background checks. </w:t>
      </w:r>
      <w:r w:rsidR="009E1701">
        <w:rPr>
          <w:rFonts w:ascii="Garamond" w:hAnsi="Garamond" w:cstheme="minorHAnsi"/>
        </w:rPr>
        <w:t xml:space="preserve">It could be the case that </w:t>
      </w:r>
      <w:r w:rsidR="00114787">
        <w:rPr>
          <w:rFonts w:ascii="Garamond" w:hAnsi="Garamond" w:cstheme="minorHAnsi"/>
        </w:rPr>
        <w:t>increases</w:t>
      </w:r>
      <w:r w:rsidR="009E1701">
        <w:rPr>
          <w:rFonts w:ascii="Garamond" w:hAnsi="Garamond" w:cstheme="minorHAnsi"/>
        </w:rPr>
        <w:t xml:space="preserve"> in the post-treatment period reflect a continuation of the </w:t>
      </w:r>
      <w:r w:rsidR="00114787">
        <w:rPr>
          <w:rFonts w:ascii="Garamond" w:hAnsi="Garamond" w:cstheme="minorHAnsi"/>
        </w:rPr>
        <w:t>increases</w:t>
      </w:r>
      <w:r w:rsidR="009E1701">
        <w:rPr>
          <w:rFonts w:ascii="Garamond" w:hAnsi="Garamond" w:cstheme="minorHAnsi"/>
        </w:rPr>
        <w:t xml:space="preserve"> occurring pre-treatment rather than a causal effect of the rule change. </w:t>
      </w:r>
    </w:p>
    <w:p w14:paraId="5F509D85" w14:textId="2F53FF68" w:rsidR="001B30AA" w:rsidRDefault="001B30AA" w:rsidP="00C126FE">
      <w:pPr>
        <w:spacing w:line="480" w:lineRule="auto"/>
        <w:ind w:firstLine="720"/>
        <w:jc w:val="both"/>
        <w:rPr>
          <w:rFonts w:ascii="Garamond" w:hAnsi="Garamond" w:cs="Courier New"/>
          <w:b/>
          <w:bCs/>
        </w:rPr>
      </w:pPr>
      <w:r w:rsidRPr="006A79B9">
        <w:rPr>
          <w:rFonts w:ascii="Garamond" w:hAnsi="Garamond" w:cstheme="minorHAnsi"/>
        </w:rPr>
        <w:t>As for the post rule change lags, results reveal several statistically significant associations (i.e., lags 6 to 9), all indicating a</w:t>
      </w:r>
      <w:r>
        <w:rPr>
          <w:rFonts w:ascii="Garamond" w:hAnsi="Garamond" w:cstheme="minorHAnsi"/>
        </w:rPr>
        <w:t>n increase</w:t>
      </w:r>
      <w:r w:rsidRPr="006A79B9">
        <w:rPr>
          <w:rFonts w:ascii="Garamond" w:hAnsi="Garamond" w:cstheme="minorHAnsi"/>
        </w:rPr>
        <w:t xml:space="preserve"> in background checks after the rule change. For instance, the coefficient of the effect of lag 6, 0.</w:t>
      </w:r>
      <w:r>
        <w:rPr>
          <w:rFonts w:ascii="Garamond" w:hAnsi="Garamond" w:cstheme="minorHAnsi"/>
        </w:rPr>
        <w:t>215</w:t>
      </w:r>
      <w:r w:rsidRPr="006A79B9">
        <w:rPr>
          <w:rFonts w:ascii="Garamond" w:hAnsi="Garamond" w:cstheme="minorHAnsi"/>
        </w:rPr>
        <w:t>, means that in the 6</w:t>
      </w:r>
      <w:r w:rsidRPr="006A79B9">
        <w:rPr>
          <w:rFonts w:ascii="Garamond" w:hAnsi="Garamond" w:cstheme="minorHAnsi"/>
          <w:vertAlign w:val="superscript"/>
        </w:rPr>
        <w:t>th</w:t>
      </w:r>
      <w:r w:rsidRPr="006A79B9">
        <w:rPr>
          <w:rFonts w:ascii="Garamond" w:hAnsi="Garamond" w:cstheme="minorHAnsi"/>
        </w:rPr>
        <w:t xml:space="preserve"> month after the rule change went into effect, background checks were </w:t>
      </w:r>
      <w:r>
        <w:rPr>
          <w:rFonts w:ascii="Garamond" w:hAnsi="Garamond" w:cstheme="minorHAnsi"/>
        </w:rPr>
        <w:t>24</w:t>
      </w:r>
      <w:r w:rsidRPr="006A79B9">
        <w:rPr>
          <w:rFonts w:ascii="Garamond" w:hAnsi="Garamond" w:cstheme="minorHAnsi"/>
        </w:rPr>
        <w:t xml:space="preserve">% </w:t>
      </w:r>
      <w:r>
        <w:rPr>
          <w:rFonts w:ascii="Garamond" w:hAnsi="Garamond" w:cstheme="minorHAnsi"/>
        </w:rPr>
        <w:t xml:space="preserve">greater </w:t>
      </w:r>
      <w:r w:rsidRPr="006A79B9">
        <w:rPr>
          <w:rFonts w:ascii="Garamond" w:hAnsi="Garamond" w:cstheme="minorHAnsi"/>
        </w:rPr>
        <w:t>in treated states compared to what would have been expected based on the control group trend</w:t>
      </w:r>
      <w:r w:rsidRPr="006A79B9">
        <w:rPr>
          <w:rFonts w:ascii="Garamond" w:eastAsiaTheme="minorEastAsia" w:hAnsi="Garamond" w:cstheme="minorHAnsi"/>
        </w:rPr>
        <w:t xml:space="preserve"> </w:t>
      </w:r>
      <m:oMath>
        <m:d>
          <m:dPr>
            <m:ctrlPr>
              <w:rPr>
                <w:rFonts w:ascii="Cambria Math" w:hAnsi="Cambria Math" w:cstheme="minorHAnsi"/>
                <w:i/>
              </w:rPr>
            </m:ctrlPr>
          </m:dPr>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0.215</m:t>
                    </m:r>
                  </m:sup>
                </m:sSup>
                <m:r>
                  <w:rPr>
                    <w:rFonts w:ascii="Cambria Math" w:hAnsi="Cambria Math" w:cstheme="minorHAnsi"/>
                  </w:rPr>
                  <m:t>-1</m:t>
                </m:r>
              </m:e>
            </m:d>
            <m:r>
              <w:rPr>
                <w:rFonts w:ascii="Cambria Math" w:eastAsiaTheme="minorEastAsia" w:hAnsi="Cambria Math" w:cstheme="minorHAnsi"/>
              </w:rPr>
              <m:t>=24%</m:t>
            </m:r>
          </m:e>
        </m:d>
      </m:oMath>
      <w:r w:rsidRPr="006A79B9">
        <w:rPr>
          <w:rFonts w:ascii="Garamond" w:hAnsi="Garamond" w:cstheme="minorHAnsi"/>
        </w:rPr>
        <w:t xml:space="preserve">. The pattern observed in the post-treatment period in Figure </w:t>
      </w:r>
      <w:r>
        <w:rPr>
          <w:rFonts w:ascii="Garamond" w:hAnsi="Garamond" w:cstheme="minorHAnsi"/>
        </w:rPr>
        <w:t>5</w:t>
      </w:r>
      <w:r w:rsidRPr="006A79B9">
        <w:rPr>
          <w:rFonts w:ascii="Garamond" w:hAnsi="Garamond" w:cstheme="minorHAnsi"/>
        </w:rPr>
        <w:t xml:space="preserve"> </w:t>
      </w:r>
      <w:r>
        <w:rPr>
          <w:rFonts w:ascii="Garamond" w:hAnsi="Garamond" w:cstheme="minorHAnsi"/>
        </w:rPr>
        <w:t>may</w:t>
      </w:r>
      <w:r w:rsidRPr="006A79B9">
        <w:rPr>
          <w:rFonts w:ascii="Garamond" w:hAnsi="Garamond" w:cstheme="minorHAnsi"/>
        </w:rPr>
        <w:t xml:space="preserve"> </w:t>
      </w:r>
      <w:r>
        <w:rPr>
          <w:rFonts w:ascii="Garamond" w:hAnsi="Garamond" w:cstheme="minorHAnsi"/>
        </w:rPr>
        <w:t xml:space="preserve">be interpreted in a couple different ways. It may be </w:t>
      </w:r>
      <w:r w:rsidRPr="006A79B9">
        <w:rPr>
          <w:rFonts w:ascii="Garamond" w:hAnsi="Garamond" w:cstheme="minorHAnsi"/>
        </w:rPr>
        <w:t xml:space="preserve">consistent with a delayed </w:t>
      </w:r>
      <w:r>
        <w:rPr>
          <w:rFonts w:ascii="Garamond" w:hAnsi="Garamond" w:cstheme="minorHAnsi"/>
        </w:rPr>
        <w:t>increase</w:t>
      </w:r>
      <w:r w:rsidRPr="006A79B9">
        <w:rPr>
          <w:rFonts w:ascii="Garamond" w:hAnsi="Garamond" w:cstheme="minorHAnsi"/>
        </w:rPr>
        <w:t xml:space="preserve"> in background checks, with </w:t>
      </w:r>
      <w:r>
        <w:rPr>
          <w:rFonts w:ascii="Garamond" w:hAnsi="Garamond" w:cstheme="minorHAnsi"/>
        </w:rPr>
        <w:t>the effect lasting for a few months before returning to baseline. Or it could simply reflect differential seasonality in firearm purchasing and background checks between treated and control states rather than a causal effect of the loophole rule change.</w:t>
      </w:r>
    </w:p>
    <w:p w14:paraId="00D618FA" w14:textId="1DE56187" w:rsidR="009E1701" w:rsidRPr="009E1701" w:rsidRDefault="009E1701" w:rsidP="001B30AA">
      <w:pPr>
        <w:keepNext/>
        <w:spacing w:line="480" w:lineRule="auto"/>
        <w:jc w:val="both"/>
        <w:rPr>
          <w:rFonts w:ascii="Garamond" w:hAnsi="Garamond" w:cs="Courier New"/>
          <w:b/>
          <w:bCs/>
        </w:rPr>
      </w:pPr>
      <w:r w:rsidRPr="006A79B9">
        <w:rPr>
          <w:rFonts w:ascii="Garamond" w:hAnsi="Garamond" w:cs="Courier New"/>
          <w:b/>
          <w:bCs/>
        </w:rPr>
        <w:lastRenderedPageBreak/>
        <w:t xml:space="preserve">Figure </w:t>
      </w:r>
      <w:r w:rsidR="00A52486">
        <w:rPr>
          <w:rFonts w:ascii="Garamond" w:hAnsi="Garamond" w:cs="Courier New"/>
          <w:b/>
          <w:bCs/>
        </w:rPr>
        <w:t>5</w:t>
      </w:r>
      <w:r w:rsidRPr="006A79B9">
        <w:rPr>
          <w:rFonts w:ascii="Garamond" w:hAnsi="Garamond" w:cs="Courier New"/>
          <w:b/>
          <w:bCs/>
        </w:rPr>
        <w:t xml:space="preserve">. </w:t>
      </w:r>
      <w:r w:rsidRPr="004D04A3">
        <w:rPr>
          <w:rFonts w:ascii="Garamond" w:hAnsi="Garamond" w:cs="Courier New"/>
          <w:b/>
          <w:bCs/>
        </w:rPr>
        <w:t>Event Study Estimates</w:t>
      </w:r>
      <w:r w:rsidRPr="006A79B9">
        <w:rPr>
          <w:rFonts w:ascii="Garamond" w:hAnsi="Garamond" w:cs="Courier New"/>
          <w:b/>
          <w:bCs/>
        </w:rPr>
        <w:t>: Background Checks</w:t>
      </w:r>
    </w:p>
    <w:p w14:paraId="3646A9A3" w14:textId="1560AF82" w:rsidR="00150163" w:rsidRPr="006A79B9" w:rsidRDefault="00E66278" w:rsidP="00613DA4">
      <w:pPr>
        <w:spacing w:line="480" w:lineRule="auto"/>
        <w:jc w:val="both"/>
        <w:rPr>
          <w:rFonts w:ascii="Garamond" w:hAnsi="Garamond" w:cstheme="minorHAnsi"/>
        </w:rPr>
      </w:pPr>
      <w:r>
        <w:rPr>
          <w:rFonts w:ascii="Garamond" w:hAnsi="Garamond" w:cstheme="minorHAnsi"/>
          <w:noProof/>
          <w14:ligatures w14:val="standardContextual"/>
        </w:rPr>
        <w:drawing>
          <wp:inline distT="0" distB="0" distL="0" distR="0" wp14:anchorId="76DDBAC3" wp14:editId="43FBB74E">
            <wp:extent cx="5120640" cy="3072384"/>
            <wp:effectExtent l="0" t="0" r="3810" b="0"/>
            <wp:docPr id="1229333570" name="Picture 3" descr="A graph showing the time peri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33570" name="Picture 3" descr="A graph showing the time perio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120640" cy="3072384"/>
                    </a:xfrm>
                    <a:prstGeom prst="rect">
                      <a:avLst/>
                    </a:prstGeom>
                  </pic:spPr>
                </pic:pic>
              </a:graphicData>
            </a:graphic>
          </wp:inline>
        </w:drawing>
      </w:r>
    </w:p>
    <w:p w14:paraId="0216F608" w14:textId="5CE2BA8E" w:rsidR="00A90DDF" w:rsidRPr="006A79B9" w:rsidRDefault="00A90DDF" w:rsidP="00613DA4">
      <w:pPr>
        <w:spacing w:line="480" w:lineRule="auto"/>
        <w:rPr>
          <w:rFonts w:ascii="Garamond" w:hAnsi="Garamond" w:cstheme="minorHAnsi"/>
        </w:rPr>
      </w:pPr>
    </w:p>
    <w:p w14:paraId="39DF4403" w14:textId="6854D6D1" w:rsidR="00977D18" w:rsidRDefault="00206DA9">
      <w:pPr>
        <w:tabs>
          <w:tab w:val="num" w:pos="720"/>
          <w:tab w:val="num" w:pos="1440"/>
        </w:tabs>
        <w:spacing w:line="480" w:lineRule="auto"/>
        <w:jc w:val="both"/>
        <w:rPr>
          <w:rFonts w:ascii="Garamond" w:eastAsiaTheme="minorEastAsia" w:hAnsi="Garamond" w:cstheme="minorHAnsi"/>
        </w:rPr>
      </w:pPr>
      <w:r>
        <w:rPr>
          <w:rFonts w:ascii="Garamond" w:hAnsi="Garamond" w:cstheme="minorHAnsi"/>
        </w:rPr>
        <w:tab/>
      </w:r>
      <w:r w:rsidR="00445420">
        <w:rPr>
          <w:rFonts w:ascii="Garamond" w:eastAsiaTheme="minorEastAsia" w:hAnsi="Garamond" w:cstheme="minorHAnsi"/>
        </w:rPr>
        <w:t>I</w:t>
      </w:r>
      <w:r w:rsidR="00977D18">
        <w:rPr>
          <w:rFonts w:ascii="Garamond" w:eastAsiaTheme="minorEastAsia" w:hAnsi="Garamond" w:cstheme="minorHAnsi"/>
        </w:rPr>
        <w:t xml:space="preserve">f one were to </w:t>
      </w:r>
      <w:r w:rsidR="00445420">
        <w:rPr>
          <w:rFonts w:ascii="Garamond" w:eastAsiaTheme="minorEastAsia" w:hAnsi="Garamond" w:cstheme="minorHAnsi"/>
        </w:rPr>
        <w:t xml:space="preserve">exclude focus on the months of the holiday buying season and </w:t>
      </w:r>
      <w:r w:rsidR="00ED3D29">
        <w:rPr>
          <w:rFonts w:ascii="Garamond" w:eastAsiaTheme="minorEastAsia" w:hAnsi="Garamond" w:cstheme="minorHAnsi"/>
        </w:rPr>
        <w:t xml:space="preserve">more narrowly </w:t>
      </w:r>
      <w:r w:rsidR="00977D18">
        <w:rPr>
          <w:rFonts w:ascii="Garamond" w:eastAsiaTheme="minorEastAsia" w:hAnsi="Garamond" w:cstheme="minorHAnsi"/>
        </w:rPr>
        <w:t xml:space="preserve">focus on the ten month period in Figure </w:t>
      </w:r>
      <w:r w:rsidR="00A52486">
        <w:rPr>
          <w:rFonts w:ascii="Garamond" w:eastAsiaTheme="minorEastAsia" w:hAnsi="Garamond" w:cstheme="minorHAnsi"/>
        </w:rPr>
        <w:t>5</w:t>
      </w:r>
      <w:r w:rsidR="00977D18">
        <w:rPr>
          <w:rFonts w:ascii="Garamond" w:eastAsiaTheme="minorEastAsia" w:hAnsi="Garamond" w:cstheme="minorHAnsi"/>
        </w:rPr>
        <w:t xml:space="preserve"> between time periods -4 and 5 (corresponding to January to October 2024, four months pre-intervention and five months post), there is </w:t>
      </w:r>
      <w:r w:rsidR="00445420">
        <w:rPr>
          <w:rFonts w:ascii="Garamond" w:eastAsiaTheme="minorEastAsia" w:hAnsi="Garamond" w:cstheme="minorHAnsi"/>
        </w:rPr>
        <w:t>still</w:t>
      </w:r>
      <w:r w:rsidR="00977D18">
        <w:rPr>
          <w:rFonts w:ascii="Garamond" w:eastAsiaTheme="minorEastAsia" w:hAnsi="Garamond" w:cstheme="minorHAnsi"/>
        </w:rPr>
        <w:t xml:space="preserve"> suggestive evidence of an increase in background checks. Pre-intervention, there is a shrinking gap in background checks between treated and control states between months -4 and -1 that appear</w:t>
      </w:r>
      <w:r w:rsidR="004D25CF">
        <w:rPr>
          <w:rFonts w:ascii="Garamond" w:eastAsiaTheme="minorEastAsia" w:hAnsi="Garamond" w:cstheme="minorHAnsi"/>
        </w:rPr>
        <w:t>s</w:t>
      </w:r>
      <w:r w:rsidR="00977D18">
        <w:rPr>
          <w:rFonts w:ascii="Garamond" w:eastAsiaTheme="minorEastAsia" w:hAnsi="Garamond" w:cstheme="minorHAnsi"/>
        </w:rPr>
        <w:t xml:space="preserve"> to reverse once the loophole rule change came into effect</w:t>
      </w:r>
      <w:r w:rsidR="00606B56">
        <w:rPr>
          <w:rFonts w:ascii="Garamond" w:eastAsiaTheme="minorEastAsia" w:hAnsi="Garamond" w:cstheme="minorHAnsi"/>
        </w:rPr>
        <w:t xml:space="preserve"> (i.e., coefficients around 0.1 that decline to zero in the pre-intervention period)</w:t>
      </w:r>
      <w:r w:rsidR="00977D18">
        <w:rPr>
          <w:rFonts w:ascii="Garamond" w:eastAsiaTheme="minorEastAsia" w:hAnsi="Garamond" w:cstheme="minorHAnsi"/>
        </w:rPr>
        <w:t xml:space="preserve">. Figure </w:t>
      </w:r>
      <w:r w:rsidR="00A52486">
        <w:rPr>
          <w:rFonts w:ascii="Garamond" w:eastAsiaTheme="minorEastAsia" w:hAnsi="Garamond" w:cstheme="minorHAnsi"/>
        </w:rPr>
        <w:t>5</w:t>
      </w:r>
      <w:r w:rsidR="00977D18">
        <w:rPr>
          <w:rFonts w:ascii="Garamond" w:eastAsiaTheme="minorEastAsia" w:hAnsi="Garamond" w:cstheme="minorHAnsi"/>
        </w:rPr>
        <w:t xml:space="preserve"> visually reveal</w:t>
      </w:r>
      <w:r w:rsidR="00CC5528">
        <w:rPr>
          <w:rFonts w:ascii="Garamond" w:eastAsiaTheme="minorEastAsia" w:hAnsi="Garamond" w:cstheme="minorHAnsi"/>
        </w:rPr>
        <w:t>s</w:t>
      </w:r>
      <w:r w:rsidR="00977D18">
        <w:rPr>
          <w:rFonts w:ascii="Garamond" w:eastAsiaTheme="minorEastAsia" w:hAnsi="Garamond" w:cstheme="minorHAnsi"/>
        </w:rPr>
        <w:t xml:space="preserve"> increasing point estimate</w:t>
      </w:r>
      <w:r w:rsidR="00CC5528">
        <w:rPr>
          <w:rFonts w:ascii="Garamond" w:eastAsiaTheme="minorEastAsia" w:hAnsi="Garamond" w:cstheme="minorHAnsi"/>
        </w:rPr>
        <w:t>s in the immediate post-intervention period, with effects marginally significant at p &lt; 0.10 for time periods 3 to 5.</w:t>
      </w:r>
    </w:p>
    <w:p w14:paraId="23994259" w14:textId="49238BC9" w:rsidR="00D04A44" w:rsidRDefault="00206DA9" w:rsidP="00606B56">
      <w:pPr>
        <w:spacing w:line="480" w:lineRule="auto"/>
        <w:jc w:val="both"/>
        <w:rPr>
          <w:rFonts w:ascii="Garamond" w:hAnsi="Garamond" w:cstheme="minorHAnsi"/>
        </w:rPr>
      </w:pPr>
      <w:r>
        <w:rPr>
          <w:rFonts w:ascii="Garamond" w:hAnsi="Garamond" w:cstheme="minorHAnsi"/>
        </w:rPr>
        <w:tab/>
      </w:r>
      <w:r w:rsidR="00CC5528">
        <w:rPr>
          <w:rFonts w:ascii="Garamond" w:hAnsi="Garamond" w:cstheme="minorHAnsi"/>
        </w:rPr>
        <w:t>Whether focusing on the full post-intervention period or just the first few months following the rule change, r</w:t>
      </w:r>
      <w:r w:rsidR="007962F5" w:rsidRPr="006A79B9">
        <w:rPr>
          <w:rFonts w:ascii="Garamond" w:hAnsi="Garamond" w:cstheme="minorHAnsi"/>
        </w:rPr>
        <w:t xml:space="preserve">esults thus far </w:t>
      </w:r>
      <w:r w:rsidR="00CC5528">
        <w:rPr>
          <w:rFonts w:ascii="Garamond" w:hAnsi="Garamond" w:cstheme="minorHAnsi"/>
        </w:rPr>
        <w:t xml:space="preserve">provide suggestive evidence </w:t>
      </w:r>
      <w:r w:rsidR="007962F5" w:rsidRPr="006A79B9">
        <w:rPr>
          <w:rFonts w:ascii="Garamond" w:hAnsi="Garamond" w:cstheme="minorHAnsi"/>
        </w:rPr>
        <w:t>that the loophole rule change spurred a</w:t>
      </w:r>
      <w:r w:rsidR="008B0B8D">
        <w:rPr>
          <w:rFonts w:ascii="Garamond" w:hAnsi="Garamond" w:cstheme="minorHAnsi"/>
        </w:rPr>
        <w:t>n increase</w:t>
      </w:r>
      <w:r w:rsidR="007962F5" w:rsidRPr="006A79B9">
        <w:rPr>
          <w:rFonts w:ascii="Garamond" w:hAnsi="Garamond" w:cstheme="minorHAnsi"/>
        </w:rPr>
        <w:t xml:space="preserve"> in background checks. </w:t>
      </w:r>
      <w:r w:rsidR="008932B7" w:rsidRPr="006A79B9">
        <w:rPr>
          <w:rFonts w:ascii="Garamond" w:hAnsi="Garamond" w:cstheme="minorHAnsi"/>
        </w:rPr>
        <w:t xml:space="preserve">Before drawing firm conclusions about this finding, </w:t>
      </w:r>
      <w:r w:rsidR="007962F5" w:rsidRPr="006A79B9">
        <w:rPr>
          <w:rFonts w:ascii="Garamond" w:hAnsi="Garamond" w:cstheme="minorHAnsi"/>
        </w:rPr>
        <w:t xml:space="preserve">we use </w:t>
      </w:r>
      <w:r w:rsidR="007962F5" w:rsidRPr="006A79B9">
        <w:rPr>
          <w:rFonts w:ascii="Garamond" w:hAnsi="Garamond" w:cstheme="minorHAnsi"/>
        </w:rPr>
        <w:lastRenderedPageBreak/>
        <w:t xml:space="preserve">Rambachan and Roth’s (2023) </w:t>
      </w:r>
      <w:r w:rsidR="008932B7" w:rsidRPr="006A79B9">
        <w:rPr>
          <w:rFonts w:ascii="Garamond" w:hAnsi="Garamond" w:cstheme="minorHAnsi"/>
        </w:rPr>
        <w:t xml:space="preserve">sensitivity test </w:t>
      </w:r>
      <w:r w:rsidR="007962F5" w:rsidRPr="006A79B9">
        <w:rPr>
          <w:rFonts w:ascii="Garamond" w:hAnsi="Garamond" w:cstheme="minorHAnsi"/>
        </w:rPr>
        <w:t>to assess the extent to which the observed</w:t>
      </w:r>
      <w:r w:rsidR="008B0B8D">
        <w:rPr>
          <w:rFonts w:ascii="Garamond" w:hAnsi="Garamond" w:cstheme="minorHAnsi"/>
        </w:rPr>
        <w:t xml:space="preserve"> increases</w:t>
      </w:r>
      <w:r w:rsidR="007962F5" w:rsidRPr="006A79B9">
        <w:rPr>
          <w:rFonts w:ascii="Garamond" w:hAnsi="Garamond" w:cstheme="minorHAnsi"/>
        </w:rPr>
        <w:t xml:space="preserve"> in</w:t>
      </w:r>
      <w:r w:rsidR="008932B7" w:rsidRPr="006A79B9">
        <w:rPr>
          <w:rFonts w:ascii="Garamond" w:hAnsi="Garamond" w:cstheme="minorHAnsi"/>
        </w:rPr>
        <w:t xml:space="preserve"> background checks</w:t>
      </w:r>
      <w:r w:rsidR="007962F5" w:rsidRPr="006A79B9">
        <w:rPr>
          <w:rFonts w:ascii="Garamond" w:hAnsi="Garamond" w:cstheme="minorHAnsi"/>
        </w:rPr>
        <w:t xml:space="preserve"> are robust to violations of the parallel trends assumptions. </w:t>
      </w:r>
    </w:p>
    <w:p w14:paraId="6A774CD3" w14:textId="495CB392" w:rsidR="00D04A44" w:rsidRDefault="00D04A44" w:rsidP="00606B56">
      <w:pPr>
        <w:spacing w:line="480" w:lineRule="auto"/>
        <w:ind w:firstLine="720"/>
        <w:jc w:val="both"/>
        <w:rPr>
          <w:rFonts w:ascii="Garamond" w:hAnsi="Garamond"/>
        </w:rPr>
      </w:pPr>
      <w:r>
        <w:rPr>
          <w:rFonts w:ascii="Garamond" w:hAnsi="Garamond" w:cstheme="minorHAnsi"/>
        </w:rPr>
        <w:t>Ram</w:t>
      </w:r>
      <w:r w:rsidR="00415983">
        <w:rPr>
          <w:rFonts w:ascii="Garamond" w:hAnsi="Garamond" w:cstheme="minorHAnsi"/>
        </w:rPr>
        <w:t>b</w:t>
      </w:r>
      <w:r>
        <w:rPr>
          <w:rFonts w:ascii="Garamond" w:hAnsi="Garamond" w:cstheme="minorHAnsi"/>
        </w:rPr>
        <w:t>achan and Roth’s method requires a linear specification. Accordingly, t</w:t>
      </w:r>
      <w:r w:rsidRPr="006A79B9">
        <w:rPr>
          <w:rFonts w:ascii="Garamond" w:hAnsi="Garamond"/>
        </w:rPr>
        <w:t xml:space="preserve">o assess the sensitivity of </w:t>
      </w:r>
      <w:r>
        <w:rPr>
          <w:rFonts w:ascii="Garamond" w:hAnsi="Garamond"/>
        </w:rPr>
        <w:t xml:space="preserve">our </w:t>
      </w:r>
      <w:r w:rsidRPr="006A79B9">
        <w:rPr>
          <w:rFonts w:ascii="Garamond" w:hAnsi="Garamond"/>
        </w:rPr>
        <w:t>inferences</w:t>
      </w:r>
      <w:r>
        <w:rPr>
          <w:rFonts w:ascii="Garamond" w:hAnsi="Garamond"/>
        </w:rPr>
        <w:t>, we use an</w:t>
      </w:r>
      <w:r w:rsidRPr="006A79B9">
        <w:rPr>
          <w:rFonts w:ascii="Garamond" w:hAnsi="Garamond"/>
        </w:rPr>
        <w:t xml:space="preserve"> inverse hyperbolic sine transformation of </w:t>
      </w:r>
      <w:r>
        <w:rPr>
          <w:rFonts w:ascii="Garamond" w:hAnsi="Garamond"/>
        </w:rPr>
        <w:t xml:space="preserve">the count of background checks in a linear model. Adapting equation 1 to a linear model, we estimate the following: </w:t>
      </w:r>
    </w:p>
    <w:p w14:paraId="00EBD276" w14:textId="3385AF69" w:rsidR="00D04A44" w:rsidRPr="006A79B9" w:rsidRDefault="00D04A44" w:rsidP="00606B56">
      <w:pPr>
        <w:spacing w:line="480" w:lineRule="auto"/>
        <w:ind w:left="2160" w:firstLine="720"/>
        <w:jc w:val="both"/>
        <w:rPr>
          <w:rFonts w:ascii="Garamond" w:eastAsiaTheme="minorEastAsia" w:hAnsi="Garamond" w:cstheme="minorHAnsi"/>
        </w:rPr>
      </w:pPr>
      <m:oMath>
        <m:r>
          <m:rPr>
            <m:sty m:val="p"/>
          </m:rPr>
          <w:rPr>
            <w:rFonts w:ascii="Cambria Math" w:hAnsi="Cambria Math" w:cstheme="minorHAnsi"/>
          </w:rPr>
          <m:t>asinh</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st</m:t>
                </m:r>
              </m:sub>
            </m:sSub>
          </m:e>
        </m:d>
        <m:r>
          <w:rPr>
            <w:rFonts w:ascii="Cambria Math" w:hAnsi="Cambria Math" w:cstheme="minorHAnsi"/>
          </w:rPr>
          <m:t>=α+</m:t>
        </m:r>
        <m:sSub>
          <m:sSubPr>
            <m:ctrlPr>
              <w:rPr>
                <w:rFonts w:ascii="Cambria Math" w:hAnsi="Cambria Math" w:cstheme="minorHAnsi"/>
                <w:i/>
              </w:rPr>
            </m:ctrlPr>
          </m:sSubPr>
          <m:e>
            <m:r>
              <w:rPr>
                <w:rFonts w:ascii="Cambria Math" w:hAnsi="Cambria Math" w:cstheme="minorHAnsi"/>
              </w:rPr>
              <m:t>β</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st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ϑ</m:t>
                </m:r>
              </m:e>
              <m:sub>
                <m:r>
                  <w:rPr>
                    <w:rFonts w:ascii="Cambria Math" w:hAnsi="Cambria Math" w:cstheme="minorHAnsi"/>
                  </w:rPr>
                  <m:t>s</m:t>
                </m:r>
              </m:sub>
            </m:sSub>
            <m:r>
              <w:rPr>
                <w:rFonts w:ascii="Cambria Math" w:hAnsi="Cambria Math" w:cstheme="minorHAnsi"/>
              </w:rPr>
              <m:t>+ γ</m:t>
            </m:r>
          </m:e>
          <m:sub>
            <m:r>
              <w:rPr>
                <w:rFonts w:ascii="Cambria Math" w:hAnsi="Cambria Math" w:cstheme="minorHAnsi"/>
              </w:rPr>
              <m:t>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st</m:t>
            </m:r>
          </m:sub>
        </m:sSub>
      </m:oMath>
      <w:r w:rsidRPr="006A79B9">
        <w:rPr>
          <w:rFonts w:ascii="Garamond" w:eastAsiaTheme="minorEastAsia" w:hAnsi="Garamond" w:cstheme="minorHAnsi"/>
        </w:rPr>
        <w:tab/>
      </w:r>
      <w:r w:rsidRPr="006A79B9">
        <w:rPr>
          <w:rFonts w:ascii="Garamond" w:eastAsiaTheme="minorEastAsia" w:hAnsi="Garamond" w:cstheme="minorHAnsi"/>
        </w:rPr>
        <w:tab/>
      </w:r>
      <w:r w:rsidRPr="006A79B9">
        <w:rPr>
          <w:rFonts w:ascii="Garamond" w:eastAsiaTheme="minorEastAsia" w:hAnsi="Garamond" w:cstheme="minorHAnsi"/>
        </w:rPr>
        <w:tab/>
        <w:t>(</w:t>
      </w:r>
      <w:r>
        <w:rPr>
          <w:rFonts w:ascii="Garamond" w:eastAsiaTheme="minorEastAsia" w:hAnsi="Garamond" w:cstheme="minorHAnsi"/>
        </w:rPr>
        <w:t>3</w:t>
      </w:r>
      <w:r w:rsidRPr="006A79B9">
        <w:rPr>
          <w:rFonts w:ascii="Garamond" w:eastAsiaTheme="minorEastAsia" w:hAnsi="Garamond" w:cstheme="minorHAnsi"/>
        </w:rPr>
        <w:t>)</w:t>
      </w:r>
    </w:p>
    <w:p w14:paraId="2CC44730" w14:textId="77777777" w:rsidR="00D04A44" w:rsidRDefault="00D04A44" w:rsidP="00606B56">
      <w:pPr>
        <w:spacing w:line="480" w:lineRule="auto"/>
        <w:jc w:val="both"/>
        <w:rPr>
          <w:rFonts w:ascii="Garamond" w:hAnsi="Garamond"/>
        </w:rPr>
      </w:pPr>
    </w:p>
    <w:p w14:paraId="4A378560" w14:textId="40FCA1F4" w:rsidR="002528D5" w:rsidRDefault="00D04A44" w:rsidP="00606B56">
      <w:pPr>
        <w:spacing w:line="480" w:lineRule="auto"/>
        <w:ind w:firstLine="720"/>
        <w:jc w:val="both"/>
        <w:rPr>
          <w:rFonts w:ascii="Garamond" w:hAnsi="Garamond"/>
        </w:rPr>
      </w:pPr>
      <w:r>
        <w:rPr>
          <w:rFonts w:ascii="Garamond" w:hAnsi="Garamond"/>
        </w:rPr>
        <w:t xml:space="preserve">Figure </w:t>
      </w:r>
      <w:r w:rsidR="00A52486">
        <w:rPr>
          <w:rFonts w:ascii="Garamond" w:hAnsi="Garamond"/>
        </w:rPr>
        <w:t>6</w:t>
      </w:r>
      <w:r>
        <w:rPr>
          <w:rFonts w:ascii="Garamond" w:hAnsi="Garamond"/>
        </w:rPr>
        <w:t xml:space="preserve"> reveals estimates from this equation. </w:t>
      </w:r>
      <w:r w:rsidR="00C14CC0">
        <w:rPr>
          <w:rFonts w:ascii="Garamond" w:hAnsi="Garamond"/>
        </w:rPr>
        <w:t xml:space="preserve">Comparing figures </w:t>
      </w:r>
      <w:r w:rsidR="00A52486">
        <w:rPr>
          <w:rFonts w:ascii="Garamond" w:hAnsi="Garamond"/>
        </w:rPr>
        <w:t>5</w:t>
      </w:r>
      <w:r w:rsidR="00C14CC0">
        <w:rPr>
          <w:rFonts w:ascii="Garamond" w:hAnsi="Garamond"/>
        </w:rPr>
        <w:t xml:space="preserve"> and </w:t>
      </w:r>
      <w:r w:rsidR="00A52486">
        <w:rPr>
          <w:rFonts w:ascii="Garamond" w:hAnsi="Garamond"/>
        </w:rPr>
        <w:t>6</w:t>
      </w:r>
      <w:r w:rsidR="00C14CC0">
        <w:rPr>
          <w:rFonts w:ascii="Garamond" w:hAnsi="Garamond"/>
        </w:rPr>
        <w:t>, the general pattern of pre-treatment and post-treatment differences remain</w:t>
      </w:r>
      <w:r w:rsidR="002528D5">
        <w:rPr>
          <w:rFonts w:ascii="Garamond" w:hAnsi="Garamond"/>
        </w:rPr>
        <w:t>s</w:t>
      </w:r>
      <w:r w:rsidR="00C14CC0">
        <w:rPr>
          <w:rFonts w:ascii="Garamond" w:hAnsi="Garamond"/>
        </w:rPr>
        <w:t xml:space="preserve"> consistent. The pre-treatment period mostly has </w:t>
      </w:r>
      <w:r w:rsidR="00606B56">
        <w:rPr>
          <w:rFonts w:ascii="Garamond" w:hAnsi="Garamond"/>
        </w:rPr>
        <w:t>positive</w:t>
      </w:r>
      <w:r w:rsidR="00C14CC0">
        <w:rPr>
          <w:rFonts w:ascii="Garamond" w:hAnsi="Garamond"/>
        </w:rPr>
        <w:t xml:space="preserve"> coefficient estimates, with several statistically significant</w:t>
      </w:r>
      <w:r w:rsidR="00DD2210">
        <w:rPr>
          <w:rFonts w:ascii="Garamond" w:hAnsi="Garamond"/>
        </w:rPr>
        <w:t>, thereby suggesting that our treatment and control groups do not follow parallel paths</w:t>
      </w:r>
      <w:r w:rsidR="00C14CC0">
        <w:rPr>
          <w:rFonts w:ascii="Garamond" w:hAnsi="Garamond"/>
        </w:rPr>
        <w:t>.</w:t>
      </w:r>
      <w:r>
        <w:rPr>
          <w:rFonts w:ascii="Garamond" w:hAnsi="Garamond"/>
        </w:rPr>
        <w:t xml:space="preserve"> </w:t>
      </w:r>
      <w:r w:rsidR="002528D5">
        <w:rPr>
          <w:rFonts w:ascii="Garamond" w:hAnsi="Garamond"/>
        </w:rPr>
        <w:t xml:space="preserve">Post-treatment, months 6 and 7 </w:t>
      </w:r>
      <w:r w:rsidR="00445420">
        <w:rPr>
          <w:rFonts w:ascii="Garamond" w:hAnsi="Garamond"/>
        </w:rPr>
        <w:t xml:space="preserve">(November and December 2024) </w:t>
      </w:r>
      <w:r w:rsidR="002528D5">
        <w:rPr>
          <w:rFonts w:ascii="Garamond" w:hAnsi="Garamond"/>
        </w:rPr>
        <w:t>have substantial differences between treated and control states.</w:t>
      </w:r>
    </w:p>
    <w:p w14:paraId="7D0553EA" w14:textId="77777777" w:rsidR="002528D5" w:rsidRPr="006A79B9" w:rsidRDefault="002528D5" w:rsidP="00606B56">
      <w:pPr>
        <w:spacing w:line="480" w:lineRule="auto"/>
        <w:jc w:val="both"/>
        <w:rPr>
          <w:rFonts w:ascii="Garamond" w:hAnsi="Garamond" w:cstheme="minorHAnsi"/>
        </w:rPr>
      </w:pPr>
    </w:p>
    <w:p w14:paraId="1ECFB99A" w14:textId="1A87B9D4" w:rsidR="00C14CC0" w:rsidRPr="009E1701" w:rsidRDefault="00C14CC0" w:rsidP="00606B56">
      <w:pPr>
        <w:keepNext/>
        <w:spacing w:line="480" w:lineRule="auto"/>
        <w:jc w:val="both"/>
        <w:rPr>
          <w:rFonts w:ascii="Garamond" w:hAnsi="Garamond" w:cs="Courier New"/>
          <w:b/>
          <w:bCs/>
        </w:rPr>
      </w:pPr>
      <w:r w:rsidRPr="006A79B9">
        <w:rPr>
          <w:rFonts w:ascii="Garamond" w:hAnsi="Garamond" w:cs="Courier New"/>
          <w:b/>
          <w:bCs/>
        </w:rPr>
        <w:t xml:space="preserve">Figure </w:t>
      </w:r>
      <w:r w:rsidR="00A52486">
        <w:rPr>
          <w:rFonts w:ascii="Garamond" w:hAnsi="Garamond" w:cs="Courier New"/>
          <w:b/>
          <w:bCs/>
        </w:rPr>
        <w:t>6</w:t>
      </w:r>
      <w:r w:rsidRPr="006A79B9">
        <w:rPr>
          <w:rFonts w:ascii="Garamond" w:hAnsi="Garamond" w:cs="Courier New"/>
          <w:b/>
          <w:bCs/>
        </w:rPr>
        <w:t xml:space="preserve">. </w:t>
      </w:r>
      <w:r w:rsidRPr="004D04A3">
        <w:rPr>
          <w:rFonts w:ascii="Garamond" w:hAnsi="Garamond" w:cs="Courier New"/>
          <w:b/>
          <w:bCs/>
        </w:rPr>
        <w:t>Event Study Estimates</w:t>
      </w:r>
      <w:r w:rsidRPr="006A79B9">
        <w:rPr>
          <w:rFonts w:ascii="Garamond" w:hAnsi="Garamond" w:cs="Courier New"/>
          <w:b/>
          <w:bCs/>
        </w:rPr>
        <w:t>: Background Checks</w:t>
      </w:r>
      <w:r>
        <w:rPr>
          <w:rFonts w:ascii="Garamond" w:hAnsi="Garamond" w:cs="Courier New"/>
          <w:b/>
          <w:bCs/>
        </w:rPr>
        <w:t xml:space="preserve"> (linear model)</w:t>
      </w:r>
    </w:p>
    <w:p w14:paraId="175E327B" w14:textId="7F683928" w:rsidR="007962F5" w:rsidRPr="006A79B9" w:rsidRDefault="00E66278" w:rsidP="00606B56">
      <w:pPr>
        <w:spacing w:line="480" w:lineRule="auto"/>
        <w:jc w:val="both"/>
        <w:rPr>
          <w:rFonts w:ascii="Garamond" w:hAnsi="Garamond" w:cstheme="minorHAnsi"/>
        </w:rPr>
      </w:pPr>
      <w:r>
        <w:rPr>
          <w:rFonts w:ascii="Garamond" w:hAnsi="Garamond" w:cstheme="minorHAnsi"/>
          <w:noProof/>
          <w14:ligatures w14:val="standardContextual"/>
        </w:rPr>
        <w:drawing>
          <wp:inline distT="0" distB="0" distL="0" distR="0" wp14:anchorId="19B526FB" wp14:editId="79FEB5FE">
            <wp:extent cx="5120640" cy="3072384"/>
            <wp:effectExtent l="0" t="0" r="3810" b="0"/>
            <wp:docPr id="594682590" name="Picture 4" descr="A graph showing the time peri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82590" name="Picture 4" descr="A graph showing the time perio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20640" cy="3072384"/>
                    </a:xfrm>
                    <a:prstGeom prst="rect">
                      <a:avLst/>
                    </a:prstGeom>
                  </pic:spPr>
                </pic:pic>
              </a:graphicData>
            </a:graphic>
          </wp:inline>
        </w:drawing>
      </w:r>
    </w:p>
    <w:p w14:paraId="6026C636" w14:textId="6CDF34A9" w:rsidR="00616F72" w:rsidRDefault="00A1627B" w:rsidP="00606B56">
      <w:pPr>
        <w:spacing w:line="480" w:lineRule="auto"/>
        <w:ind w:firstLine="720"/>
        <w:jc w:val="both"/>
        <w:rPr>
          <w:rFonts w:ascii="Garamond" w:hAnsi="Garamond" w:cstheme="minorHAnsi"/>
        </w:rPr>
      </w:pPr>
      <w:r w:rsidRPr="00A1627B">
        <w:rPr>
          <w:rFonts w:ascii="Garamond" w:hAnsi="Garamond" w:cstheme="minorHAnsi"/>
        </w:rPr>
        <w:lastRenderedPageBreak/>
        <w:t xml:space="preserve">Figure </w:t>
      </w:r>
      <w:r w:rsidR="00A52486">
        <w:rPr>
          <w:rFonts w:ascii="Garamond" w:hAnsi="Garamond" w:cstheme="minorHAnsi"/>
        </w:rPr>
        <w:t>7</w:t>
      </w:r>
      <w:r w:rsidRPr="00A1627B">
        <w:rPr>
          <w:rFonts w:ascii="Garamond" w:hAnsi="Garamond" w:cstheme="minorHAnsi"/>
        </w:rPr>
        <w:t xml:space="preserve"> shows </w:t>
      </w:r>
      <w:r>
        <w:rPr>
          <w:rFonts w:ascii="Garamond" w:hAnsi="Garamond" w:cstheme="minorHAnsi"/>
        </w:rPr>
        <w:t xml:space="preserve">sensitivity analyses </w:t>
      </w:r>
      <w:r w:rsidRPr="00A1627B">
        <w:rPr>
          <w:rFonts w:ascii="Garamond" w:hAnsi="Garamond" w:cstheme="minorHAnsi"/>
        </w:rPr>
        <w:t xml:space="preserve">for the </w:t>
      </w:r>
      <w:r>
        <w:rPr>
          <w:rFonts w:ascii="Garamond" w:hAnsi="Garamond" w:cstheme="minorHAnsi"/>
        </w:rPr>
        <w:t xml:space="preserve">relatively sizable </w:t>
      </w:r>
      <w:r w:rsidRPr="00A1627B">
        <w:rPr>
          <w:rFonts w:ascii="Garamond" w:hAnsi="Garamond" w:cstheme="minorHAnsi"/>
        </w:rPr>
        <w:t>treatment effect</w:t>
      </w:r>
      <w:r>
        <w:rPr>
          <w:rFonts w:ascii="Garamond" w:hAnsi="Garamond" w:cstheme="minorHAnsi"/>
        </w:rPr>
        <w:t>s in the sixth and seventh time periods post-treatment, under varying scenarios of</w:t>
      </w:r>
      <m:oMath>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M</m:t>
            </m:r>
          </m:e>
        </m:acc>
      </m:oMath>
      <w:r w:rsidR="00C720D9">
        <w:rPr>
          <w:rFonts w:ascii="Garamond" w:hAnsi="Garamond" w:cstheme="minorHAnsi"/>
        </w:rPr>
        <w:t xml:space="preserve">, </w:t>
      </w:r>
      <w:r w:rsidR="0029055D">
        <w:rPr>
          <w:rFonts w:ascii="Garamond" w:hAnsi="Garamond" w:cstheme="minorHAnsi"/>
        </w:rPr>
        <w:t xml:space="preserve">which is a parameter depicting the magnitude of possible deviations from parallel trends. </w:t>
      </w:r>
      <w:r>
        <w:rPr>
          <w:rFonts w:ascii="Garamond" w:hAnsi="Garamond" w:cstheme="minorHAnsi"/>
        </w:rPr>
        <w:t xml:space="preserve">When </w:t>
      </w:r>
      <m:oMath>
        <m:acc>
          <m:accPr>
            <m:chr m:val="̅"/>
            <m:ctrlPr>
              <w:rPr>
                <w:rFonts w:ascii="Cambria Math" w:hAnsi="Cambria Math" w:cstheme="minorHAnsi"/>
                <w:i/>
              </w:rPr>
            </m:ctrlPr>
          </m:accPr>
          <m:e>
            <m:r>
              <w:rPr>
                <w:rFonts w:ascii="Cambria Math" w:hAnsi="Cambria Math" w:cstheme="minorHAnsi"/>
              </w:rPr>
              <m:t>M</m:t>
            </m:r>
          </m:e>
        </m:acc>
      </m:oMath>
      <w:r w:rsidR="007B63CD">
        <w:rPr>
          <w:rFonts w:ascii="Garamond" w:eastAsiaTheme="minorEastAsia" w:hAnsi="Garamond" w:cstheme="minorHAnsi"/>
        </w:rPr>
        <w:t xml:space="preserve"> </w:t>
      </w:r>
      <w:r>
        <w:rPr>
          <w:rFonts w:ascii="Garamond" w:hAnsi="Garamond" w:cstheme="minorHAnsi"/>
        </w:rPr>
        <w:t>=</w:t>
      </w:r>
      <w:r w:rsidR="007B63CD">
        <w:rPr>
          <w:rFonts w:ascii="Garamond" w:hAnsi="Garamond" w:cstheme="minorHAnsi"/>
        </w:rPr>
        <w:t xml:space="preserve"> </w:t>
      </w:r>
      <w:r>
        <w:rPr>
          <w:rFonts w:ascii="Garamond" w:hAnsi="Garamond" w:cstheme="minorHAnsi"/>
        </w:rPr>
        <w:t xml:space="preserve">0, we are assuming exact parallel trends in the post-treatment period. </w:t>
      </w:r>
      <w:r w:rsidR="00616F72">
        <w:rPr>
          <w:rFonts w:ascii="Garamond" w:hAnsi="Garamond" w:cstheme="minorHAnsi"/>
        </w:rPr>
        <w:t xml:space="preserve">In contrast, at </w:t>
      </w:r>
      <m:oMath>
        <m:acc>
          <m:accPr>
            <m:chr m:val="̅"/>
            <m:ctrlPr>
              <w:rPr>
                <w:rFonts w:ascii="Cambria Math" w:hAnsi="Cambria Math" w:cstheme="minorHAnsi"/>
                <w:i/>
              </w:rPr>
            </m:ctrlPr>
          </m:accPr>
          <m:e>
            <m:r>
              <w:rPr>
                <w:rFonts w:ascii="Cambria Math" w:hAnsi="Cambria Math" w:cstheme="minorHAnsi"/>
              </w:rPr>
              <m:t>M</m:t>
            </m:r>
          </m:e>
        </m:acc>
      </m:oMath>
      <w:r w:rsidR="007B63CD">
        <w:rPr>
          <w:rFonts w:ascii="Garamond" w:eastAsiaTheme="minorEastAsia" w:hAnsi="Garamond" w:cstheme="minorHAnsi"/>
        </w:rPr>
        <w:t xml:space="preserve"> </w:t>
      </w:r>
      <w:r w:rsidR="00616F72">
        <w:rPr>
          <w:rFonts w:ascii="Garamond" w:eastAsiaTheme="minorEastAsia" w:hAnsi="Garamond" w:cstheme="minorHAnsi"/>
        </w:rPr>
        <w:t>=</w:t>
      </w:r>
      <w:r w:rsidR="007B63CD">
        <w:rPr>
          <w:rFonts w:ascii="Garamond" w:eastAsiaTheme="minorEastAsia" w:hAnsi="Garamond" w:cstheme="minorHAnsi"/>
        </w:rPr>
        <w:t xml:space="preserve"> </w:t>
      </w:r>
      <w:r w:rsidR="00616F72">
        <w:rPr>
          <w:rFonts w:ascii="Garamond" w:eastAsiaTheme="minorEastAsia" w:hAnsi="Garamond" w:cstheme="minorHAnsi"/>
        </w:rPr>
        <w:t xml:space="preserve">1, we assume some level of deviation from the parallel trends assumption. In this case, the </w:t>
      </w:r>
      <w:r w:rsidR="00616F72" w:rsidRPr="00E62B91">
        <w:rPr>
          <w:rFonts w:ascii="Garamond" w:hAnsi="Garamond" w:cstheme="minorHAnsi"/>
        </w:rPr>
        <w:t xml:space="preserve">post-treatment violation of parallel trends is </w:t>
      </w:r>
      <w:r w:rsidR="00616F72">
        <w:rPr>
          <w:rFonts w:ascii="Garamond" w:hAnsi="Garamond" w:cstheme="minorHAnsi"/>
        </w:rPr>
        <w:t xml:space="preserve">assumed to be </w:t>
      </w:r>
      <w:r w:rsidR="00616F72" w:rsidRPr="00E62B91">
        <w:rPr>
          <w:rFonts w:ascii="Garamond" w:hAnsi="Garamond" w:cstheme="minorHAnsi"/>
        </w:rPr>
        <w:t>no l</w:t>
      </w:r>
      <w:r w:rsidR="00616F72">
        <w:rPr>
          <w:rFonts w:ascii="Garamond" w:hAnsi="Garamond" w:cstheme="minorHAnsi"/>
        </w:rPr>
        <w:t>arger</w:t>
      </w:r>
      <w:r w:rsidR="00616F72" w:rsidRPr="00E62B91">
        <w:rPr>
          <w:rFonts w:ascii="Garamond" w:hAnsi="Garamond" w:cstheme="minorHAnsi"/>
        </w:rPr>
        <w:t xml:space="preserve"> than the worst pre-treatment violation of parallel trends</w:t>
      </w:r>
      <w:r w:rsidR="00616F72">
        <w:rPr>
          <w:rFonts w:ascii="Garamond" w:hAnsi="Garamond" w:cstheme="minorHAnsi"/>
        </w:rPr>
        <w:t xml:space="preserve"> (Rambachan and Roth 2023)</w:t>
      </w:r>
      <w:r w:rsidR="00616F72" w:rsidRPr="00E62B91">
        <w:rPr>
          <w:rFonts w:ascii="Garamond" w:hAnsi="Garamond" w:cstheme="minorHAnsi"/>
        </w:rPr>
        <w:t>.</w:t>
      </w:r>
    </w:p>
    <w:p w14:paraId="4E1B6224" w14:textId="73583E4E" w:rsidR="00E62B91" w:rsidRDefault="00E62B91" w:rsidP="00606B56">
      <w:pPr>
        <w:spacing w:line="480" w:lineRule="auto"/>
        <w:ind w:firstLine="720"/>
        <w:jc w:val="both"/>
        <w:rPr>
          <w:rFonts w:ascii="Garamond" w:hAnsi="Garamond" w:cstheme="minorHAnsi"/>
        </w:rPr>
      </w:pPr>
      <w:r>
        <w:rPr>
          <w:rFonts w:ascii="Garamond" w:hAnsi="Garamond" w:cstheme="minorHAnsi"/>
        </w:rPr>
        <w:t>Under the assumption of exact parallel trends</w:t>
      </w:r>
      <w:r w:rsidR="00616F72">
        <w:rPr>
          <w:rFonts w:ascii="Garamond" w:hAnsi="Garamond" w:cstheme="minorHAnsi"/>
        </w:rPr>
        <w:t xml:space="preserve"> at </w:t>
      </w:r>
      <m:oMath>
        <m:acc>
          <m:accPr>
            <m:chr m:val="̅"/>
            <m:ctrlPr>
              <w:rPr>
                <w:rFonts w:ascii="Cambria Math" w:hAnsi="Cambria Math" w:cstheme="minorHAnsi"/>
                <w:i/>
              </w:rPr>
            </m:ctrlPr>
          </m:accPr>
          <m:e>
            <m:r>
              <w:rPr>
                <w:rFonts w:ascii="Cambria Math" w:hAnsi="Cambria Math" w:cstheme="minorHAnsi"/>
              </w:rPr>
              <m:t>M</m:t>
            </m:r>
          </m:e>
        </m:acc>
      </m:oMath>
      <w:r w:rsidR="007B63CD">
        <w:rPr>
          <w:rFonts w:ascii="Garamond" w:eastAsiaTheme="minorEastAsia" w:hAnsi="Garamond" w:cstheme="minorHAnsi"/>
        </w:rPr>
        <w:t xml:space="preserve"> </w:t>
      </w:r>
      <w:r w:rsidR="00616F72">
        <w:rPr>
          <w:rFonts w:ascii="Garamond" w:hAnsi="Garamond" w:cstheme="minorHAnsi"/>
        </w:rPr>
        <w:t>=</w:t>
      </w:r>
      <w:r w:rsidR="007B63CD">
        <w:rPr>
          <w:rFonts w:ascii="Garamond" w:hAnsi="Garamond" w:cstheme="minorHAnsi"/>
        </w:rPr>
        <w:t xml:space="preserve"> </w:t>
      </w:r>
      <w:r w:rsidR="00616F72">
        <w:rPr>
          <w:rFonts w:ascii="Garamond" w:hAnsi="Garamond" w:cstheme="minorHAnsi"/>
        </w:rPr>
        <w:t>0</w:t>
      </w:r>
      <w:r>
        <w:rPr>
          <w:rFonts w:ascii="Garamond" w:hAnsi="Garamond" w:cstheme="minorHAnsi"/>
        </w:rPr>
        <w:t>, the 95% confidence interval (CI) of the treatment effect in post-treatment period</w:t>
      </w:r>
      <w:r w:rsidR="00DD2210">
        <w:rPr>
          <w:rFonts w:ascii="Garamond" w:hAnsi="Garamond" w:cstheme="minorHAnsi"/>
        </w:rPr>
        <w:t>s</w:t>
      </w:r>
      <w:r>
        <w:rPr>
          <w:rFonts w:ascii="Garamond" w:hAnsi="Garamond" w:cstheme="minorHAnsi"/>
        </w:rPr>
        <w:t xml:space="preserve"> 6 and 7 is </w:t>
      </w:r>
      <w:r w:rsidR="007B63CD">
        <w:rPr>
          <w:rFonts w:ascii="Garamond" w:hAnsi="Garamond" w:cstheme="minorHAnsi"/>
        </w:rPr>
        <w:t xml:space="preserve">0.121 to </w:t>
      </w:r>
      <w:r>
        <w:rPr>
          <w:rFonts w:ascii="Garamond" w:hAnsi="Garamond" w:cstheme="minorHAnsi"/>
        </w:rPr>
        <w:t xml:space="preserve">0.332. In other words, as depicted in Figure </w:t>
      </w:r>
      <w:r w:rsidR="00A52486">
        <w:rPr>
          <w:rFonts w:ascii="Garamond" w:hAnsi="Garamond" w:cstheme="minorHAnsi"/>
        </w:rPr>
        <w:t>6</w:t>
      </w:r>
      <w:r>
        <w:rPr>
          <w:rFonts w:ascii="Garamond" w:hAnsi="Garamond" w:cstheme="minorHAnsi"/>
        </w:rPr>
        <w:t xml:space="preserve">, if we assume we have met the parallel trends assumption, we find a </w:t>
      </w:r>
      <w:r w:rsidR="007B63CD">
        <w:rPr>
          <w:rFonts w:ascii="Garamond" w:hAnsi="Garamond" w:cstheme="minorHAnsi"/>
        </w:rPr>
        <w:t>positive</w:t>
      </w:r>
      <w:r>
        <w:rPr>
          <w:rFonts w:ascii="Garamond" w:hAnsi="Garamond" w:cstheme="minorHAnsi"/>
        </w:rPr>
        <w:t xml:space="preserve"> effect of the rule change on backgrounds checks</w:t>
      </w:r>
      <w:r w:rsidR="0029055D">
        <w:rPr>
          <w:rFonts w:ascii="Garamond" w:hAnsi="Garamond" w:cstheme="minorHAnsi"/>
        </w:rPr>
        <w:t xml:space="preserve"> in periods 6 and 7</w:t>
      </w:r>
      <w:r>
        <w:rPr>
          <w:rFonts w:ascii="Garamond" w:hAnsi="Garamond" w:cstheme="minorHAnsi"/>
        </w:rPr>
        <w:t xml:space="preserve">, with a CI of the estimate from </w:t>
      </w:r>
      <w:r w:rsidR="007B63CD">
        <w:rPr>
          <w:rFonts w:ascii="Garamond" w:hAnsi="Garamond" w:cstheme="minorHAnsi"/>
        </w:rPr>
        <w:t xml:space="preserve">0.121 to </w:t>
      </w:r>
      <w:r>
        <w:rPr>
          <w:rFonts w:ascii="Garamond" w:hAnsi="Garamond" w:cstheme="minorHAnsi"/>
        </w:rPr>
        <w:t>0.332.</w:t>
      </w:r>
      <w:r w:rsidR="003646A2">
        <w:rPr>
          <w:rFonts w:ascii="Garamond" w:hAnsi="Garamond" w:cstheme="minorHAnsi"/>
        </w:rPr>
        <w:t xml:space="preserve"> But of course, the pre-treatment trends </w:t>
      </w:r>
      <w:r w:rsidR="0029055D">
        <w:rPr>
          <w:rFonts w:ascii="Garamond" w:hAnsi="Garamond" w:cstheme="minorHAnsi"/>
        </w:rPr>
        <w:t xml:space="preserve">revealed </w:t>
      </w:r>
      <w:r w:rsidR="003646A2">
        <w:rPr>
          <w:rFonts w:ascii="Garamond" w:hAnsi="Garamond" w:cstheme="minorHAnsi"/>
        </w:rPr>
        <w:t xml:space="preserve">in Figure </w:t>
      </w:r>
      <w:r w:rsidR="00A52486">
        <w:rPr>
          <w:rFonts w:ascii="Garamond" w:hAnsi="Garamond" w:cstheme="minorHAnsi"/>
        </w:rPr>
        <w:t>6</w:t>
      </w:r>
      <w:r w:rsidR="003646A2">
        <w:rPr>
          <w:rFonts w:ascii="Garamond" w:hAnsi="Garamond" w:cstheme="minorHAnsi"/>
        </w:rPr>
        <w:t xml:space="preserve"> call into question whether we have exact parallel trends. </w:t>
      </w:r>
    </w:p>
    <w:p w14:paraId="3A7E8449" w14:textId="77777777" w:rsidR="00415983" w:rsidRDefault="00415983" w:rsidP="00606B56">
      <w:pPr>
        <w:spacing w:line="480" w:lineRule="auto"/>
        <w:jc w:val="both"/>
        <w:rPr>
          <w:rFonts w:ascii="Garamond" w:hAnsi="Garamond" w:cstheme="minorHAnsi"/>
        </w:rPr>
      </w:pPr>
    </w:p>
    <w:p w14:paraId="5E2AC238" w14:textId="33626C9E" w:rsidR="00415983" w:rsidRPr="009E1701" w:rsidRDefault="00415983" w:rsidP="00606B56">
      <w:pPr>
        <w:keepNext/>
        <w:spacing w:line="480" w:lineRule="auto"/>
        <w:jc w:val="both"/>
        <w:rPr>
          <w:rFonts w:ascii="Garamond" w:hAnsi="Garamond" w:cs="Courier New"/>
          <w:b/>
          <w:bCs/>
        </w:rPr>
      </w:pPr>
      <w:r w:rsidRPr="006A79B9">
        <w:rPr>
          <w:rFonts w:ascii="Garamond" w:hAnsi="Garamond" w:cs="Courier New"/>
          <w:b/>
          <w:bCs/>
        </w:rPr>
        <w:t xml:space="preserve">Figure </w:t>
      </w:r>
      <w:r w:rsidR="00A52486">
        <w:rPr>
          <w:rFonts w:ascii="Garamond" w:hAnsi="Garamond" w:cs="Courier New"/>
          <w:b/>
          <w:bCs/>
        </w:rPr>
        <w:t>7</w:t>
      </w:r>
      <w:r w:rsidRPr="006A79B9">
        <w:rPr>
          <w:rFonts w:ascii="Garamond" w:hAnsi="Garamond" w:cs="Courier New"/>
          <w:b/>
          <w:bCs/>
        </w:rPr>
        <w:t xml:space="preserve">. </w:t>
      </w:r>
      <w:r>
        <w:rPr>
          <w:rFonts w:ascii="Garamond" w:hAnsi="Garamond" w:cs="Courier New"/>
          <w:b/>
          <w:bCs/>
        </w:rPr>
        <w:t>Sensitivity to Parallel Trends Violations</w:t>
      </w:r>
      <w:r w:rsidR="00FB0828">
        <w:rPr>
          <w:rFonts w:ascii="Garamond" w:hAnsi="Garamond" w:cs="Courier New"/>
          <w:b/>
          <w:bCs/>
        </w:rPr>
        <w:t>, HonestDiD Test</w:t>
      </w:r>
    </w:p>
    <w:p w14:paraId="4D8932F0" w14:textId="3033930F" w:rsidR="00415983" w:rsidRDefault="007B63CD" w:rsidP="00606B56">
      <w:pPr>
        <w:spacing w:line="480" w:lineRule="auto"/>
        <w:jc w:val="both"/>
        <w:rPr>
          <w:rFonts w:ascii="Garamond" w:hAnsi="Garamond" w:cstheme="minorHAnsi"/>
        </w:rPr>
      </w:pPr>
      <w:r>
        <w:rPr>
          <w:rFonts w:ascii="Garamond" w:hAnsi="Garamond" w:cstheme="minorHAnsi"/>
          <w:noProof/>
          <w14:ligatures w14:val="standardContextual"/>
        </w:rPr>
        <w:drawing>
          <wp:inline distT="0" distB="0" distL="0" distR="0" wp14:anchorId="582006B4" wp14:editId="37EDE612">
            <wp:extent cx="5129784" cy="3081528"/>
            <wp:effectExtent l="0" t="0" r="0" b="5080"/>
            <wp:docPr id="1068288801" name="Picture 3"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88801" name="Picture 3" descr="A graph with lines and numb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129784" cy="3081528"/>
                    </a:xfrm>
                    <a:prstGeom prst="rect">
                      <a:avLst/>
                    </a:prstGeom>
                  </pic:spPr>
                </pic:pic>
              </a:graphicData>
            </a:graphic>
          </wp:inline>
        </w:drawing>
      </w:r>
    </w:p>
    <w:p w14:paraId="328377F3" w14:textId="77777777" w:rsidR="00415983" w:rsidRDefault="00415983" w:rsidP="00606B56">
      <w:pPr>
        <w:spacing w:line="480" w:lineRule="auto"/>
        <w:jc w:val="both"/>
        <w:rPr>
          <w:rFonts w:ascii="Garamond" w:hAnsi="Garamond" w:cstheme="minorHAnsi"/>
        </w:rPr>
      </w:pPr>
    </w:p>
    <w:p w14:paraId="28894A18" w14:textId="42078DDF" w:rsidR="008D7D5D" w:rsidRDefault="008D7D5D" w:rsidP="00606B56">
      <w:pPr>
        <w:spacing w:line="480" w:lineRule="auto"/>
        <w:ind w:firstLine="720"/>
        <w:jc w:val="both"/>
        <w:rPr>
          <w:rFonts w:ascii="Garamond" w:eastAsiaTheme="minorEastAsia" w:hAnsi="Garamond" w:cstheme="minorHAnsi"/>
        </w:rPr>
      </w:pPr>
      <w:r>
        <w:rPr>
          <w:rFonts w:ascii="Garamond" w:hAnsi="Garamond" w:cstheme="minorHAnsi"/>
        </w:rPr>
        <w:t xml:space="preserve">Qualitatively, </w:t>
      </w:r>
      <w:r w:rsidR="00FA2C2D">
        <w:rPr>
          <w:rFonts w:ascii="Garamond" w:eastAsiaTheme="minorEastAsia" w:hAnsi="Garamond" w:cstheme="minorHAnsi"/>
        </w:rPr>
        <w:t xml:space="preserve">in Figure </w:t>
      </w:r>
      <w:r w:rsidR="00A52486">
        <w:rPr>
          <w:rFonts w:ascii="Garamond" w:eastAsiaTheme="minorEastAsia" w:hAnsi="Garamond" w:cstheme="minorHAnsi"/>
        </w:rPr>
        <w:t>7</w:t>
      </w:r>
      <w:r w:rsidR="00FA2C2D">
        <w:rPr>
          <w:rFonts w:ascii="Garamond" w:eastAsiaTheme="minorEastAsia" w:hAnsi="Garamond" w:cstheme="minorHAnsi"/>
        </w:rPr>
        <w:t xml:space="preserve"> </w:t>
      </w:r>
      <m:oMath>
        <m:acc>
          <m:accPr>
            <m:chr m:val="̅"/>
            <m:ctrlPr>
              <w:rPr>
                <w:rFonts w:ascii="Cambria Math" w:hAnsi="Cambria Math" w:cstheme="minorHAnsi"/>
                <w:i/>
              </w:rPr>
            </m:ctrlPr>
          </m:accPr>
          <m:e>
            <m:r>
              <w:rPr>
                <w:rFonts w:ascii="Cambria Math" w:hAnsi="Cambria Math" w:cstheme="minorHAnsi"/>
              </w:rPr>
              <m:t>M</m:t>
            </m:r>
          </m:e>
        </m:acc>
        <m:r>
          <w:rPr>
            <w:rFonts w:ascii="Cambria Math" w:hAnsi="Cambria Math" w:cstheme="minorHAnsi"/>
          </w:rPr>
          <m:t xml:space="preserve"> </m:t>
        </m:r>
      </m:oMath>
      <w:r>
        <w:rPr>
          <w:rFonts w:ascii="Garamond" w:eastAsiaTheme="minorEastAsia" w:hAnsi="Garamond" w:cstheme="minorHAnsi"/>
        </w:rPr>
        <w:t>=</w:t>
      </w:r>
      <w:r w:rsidR="007B63CD">
        <w:rPr>
          <w:rFonts w:ascii="Garamond" w:eastAsiaTheme="minorEastAsia" w:hAnsi="Garamond" w:cstheme="minorHAnsi"/>
        </w:rPr>
        <w:t xml:space="preserve"> </w:t>
      </w:r>
      <w:r>
        <w:rPr>
          <w:rFonts w:ascii="Garamond" w:eastAsiaTheme="minorEastAsia" w:hAnsi="Garamond" w:cstheme="minorHAnsi"/>
        </w:rPr>
        <w:t xml:space="preserve">0.5 can be roughly interpreted as a small violation of parallel trends, </w:t>
      </w:r>
      <m:oMath>
        <m:acc>
          <m:accPr>
            <m:chr m:val="̅"/>
            <m:ctrlPr>
              <w:rPr>
                <w:rFonts w:ascii="Cambria Math" w:hAnsi="Cambria Math" w:cstheme="minorHAnsi"/>
                <w:i/>
              </w:rPr>
            </m:ctrlPr>
          </m:accPr>
          <m:e>
            <m:r>
              <w:rPr>
                <w:rFonts w:ascii="Cambria Math" w:hAnsi="Cambria Math" w:cstheme="minorHAnsi"/>
              </w:rPr>
              <m:t>M</m:t>
            </m:r>
          </m:e>
        </m:acc>
      </m:oMath>
      <w:r w:rsidR="00B332D4">
        <w:rPr>
          <w:rFonts w:ascii="Garamond" w:eastAsiaTheme="minorEastAsia" w:hAnsi="Garamond" w:cstheme="minorHAnsi"/>
        </w:rPr>
        <w:t xml:space="preserve"> </w:t>
      </w:r>
      <w:r>
        <w:rPr>
          <w:rFonts w:ascii="Garamond" w:eastAsiaTheme="minorEastAsia" w:hAnsi="Garamond" w:cstheme="minorHAnsi"/>
        </w:rPr>
        <w:t>=</w:t>
      </w:r>
      <w:r w:rsidR="00B332D4">
        <w:rPr>
          <w:rFonts w:ascii="Garamond" w:eastAsiaTheme="minorEastAsia" w:hAnsi="Garamond" w:cstheme="minorHAnsi"/>
        </w:rPr>
        <w:t xml:space="preserve"> </w:t>
      </w:r>
      <w:r>
        <w:rPr>
          <w:rFonts w:ascii="Garamond" w:eastAsiaTheme="minorEastAsia" w:hAnsi="Garamond" w:cstheme="minorHAnsi"/>
        </w:rPr>
        <w:t xml:space="preserve">1 is a moderate violation, and </w:t>
      </w:r>
      <m:oMath>
        <m:acc>
          <m:accPr>
            <m:chr m:val="̅"/>
            <m:ctrlPr>
              <w:rPr>
                <w:rFonts w:ascii="Cambria Math" w:hAnsi="Cambria Math" w:cstheme="minorHAnsi"/>
                <w:i/>
              </w:rPr>
            </m:ctrlPr>
          </m:accPr>
          <m:e>
            <m:r>
              <w:rPr>
                <w:rFonts w:ascii="Cambria Math" w:hAnsi="Cambria Math" w:cstheme="minorHAnsi"/>
              </w:rPr>
              <m:t>M</m:t>
            </m:r>
          </m:e>
        </m:acc>
      </m:oMath>
      <w:r w:rsidR="00B332D4">
        <w:rPr>
          <w:rFonts w:ascii="Garamond" w:eastAsiaTheme="minorEastAsia" w:hAnsi="Garamond" w:cstheme="minorHAnsi"/>
        </w:rPr>
        <w:t xml:space="preserve"> </w:t>
      </w:r>
      <w:r>
        <w:rPr>
          <w:rFonts w:ascii="Garamond" w:eastAsiaTheme="minorEastAsia" w:hAnsi="Garamond" w:cstheme="minorHAnsi"/>
        </w:rPr>
        <w:t>=</w:t>
      </w:r>
      <w:r w:rsidR="00B332D4">
        <w:rPr>
          <w:rFonts w:ascii="Garamond" w:eastAsiaTheme="minorEastAsia" w:hAnsi="Garamond" w:cstheme="minorHAnsi"/>
        </w:rPr>
        <w:t xml:space="preserve"> </w:t>
      </w:r>
      <w:r>
        <w:rPr>
          <w:rFonts w:ascii="Garamond" w:eastAsiaTheme="minorEastAsia" w:hAnsi="Garamond" w:cstheme="minorHAnsi"/>
        </w:rPr>
        <w:t xml:space="preserve">2 is relatively large. </w:t>
      </w:r>
      <w:r>
        <w:rPr>
          <w:rFonts w:ascii="Garamond" w:hAnsi="Garamond" w:cstheme="minorHAnsi"/>
        </w:rPr>
        <w:t xml:space="preserve">We see in </w:t>
      </w:r>
      <w:r w:rsidR="00FA2C2D">
        <w:rPr>
          <w:rFonts w:ascii="Garamond" w:hAnsi="Garamond" w:cstheme="minorHAnsi"/>
        </w:rPr>
        <w:t>the figure</w:t>
      </w:r>
      <w:r>
        <w:rPr>
          <w:rFonts w:ascii="Garamond" w:hAnsi="Garamond" w:cstheme="minorHAnsi"/>
        </w:rPr>
        <w:t xml:space="preserve"> that the CI of the estimate widens substantially, containing zero, once we no longer assume exact parallel trends. This is the case even at small hypothetical violations of parallel trends (</w:t>
      </w:r>
      <m:oMath>
        <m:acc>
          <m:accPr>
            <m:chr m:val="̅"/>
            <m:ctrlPr>
              <w:rPr>
                <w:rFonts w:ascii="Cambria Math" w:hAnsi="Cambria Math" w:cstheme="minorHAnsi"/>
                <w:i/>
              </w:rPr>
            </m:ctrlPr>
          </m:accPr>
          <m:e>
            <m:r>
              <w:rPr>
                <w:rFonts w:ascii="Cambria Math" w:hAnsi="Cambria Math" w:cstheme="minorHAnsi"/>
              </w:rPr>
              <m:t>M</m:t>
            </m:r>
          </m:e>
        </m:acc>
      </m:oMath>
      <w:r w:rsidR="00B332D4">
        <w:rPr>
          <w:rFonts w:ascii="Garamond" w:eastAsiaTheme="minorEastAsia" w:hAnsi="Garamond" w:cstheme="minorHAnsi"/>
        </w:rPr>
        <w:t xml:space="preserve"> </w:t>
      </w:r>
      <w:r>
        <w:rPr>
          <w:rFonts w:ascii="Garamond" w:eastAsiaTheme="minorEastAsia" w:hAnsi="Garamond" w:cstheme="minorHAnsi"/>
        </w:rPr>
        <w:t>=</w:t>
      </w:r>
      <w:r w:rsidR="00B332D4">
        <w:rPr>
          <w:rFonts w:ascii="Garamond" w:eastAsiaTheme="minorEastAsia" w:hAnsi="Garamond" w:cstheme="minorHAnsi"/>
        </w:rPr>
        <w:t xml:space="preserve"> </w:t>
      </w:r>
      <w:r>
        <w:rPr>
          <w:rFonts w:ascii="Garamond" w:eastAsiaTheme="minorEastAsia" w:hAnsi="Garamond" w:cstheme="minorHAnsi"/>
        </w:rPr>
        <w:t>0.5</w:t>
      </w:r>
      <w:r w:rsidR="00415983">
        <w:rPr>
          <w:rFonts w:ascii="Garamond" w:eastAsiaTheme="minorEastAsia" w:hAnsi="Garamond" w:cstheme="minorHAnsi"/>
        </w:rPr>
        <w:t xml:space="preserve">; CI </w:t>
      </w:r>
      <w:r w:rsidR="00B332D4">
        <w:rPr>
          <w:rFonts w:ascii="Garamond" w:eastAsiaTheme="minorEastAsia" w:hAnsi="Garamond" w:cstheme="minorHAnsi"/>
        </w:rPr>
        <w:t xml:space="preserve">-0.622, </w:t>
      </w:r>
      <w:r w:rsidR="00415983">
        <w:rPr>
          <w:rFonts w:ascii="Garamond" w:eastAsiaTheme="minorEastAsia" w:hAnsi="Garamond" w:cstheme="minorHAnsi"/>
        </w:rPr>
        <w:t>1.176</w:t>
      </w:r>
      <w:r>
        <w:rPr>
          <w:rFonts w:ascii="Garamond" w:eastAsiaTheme="minorEastAsia" w:hAnsi="Garamond" w:cstheme="minorHAnsi"/>
        </w:rPr>
        <w:t xml:space="preserve">). In short, even for the strongest effects we </w:t>
      </w:r>
      <w:r w:rsidR="0077134C">
        <w:rPr>
          <w:rFonts w:ascii="Garamond" w:eastAsiaTheme="minorEastAsia" w:hAnsi="Garamond" w:cstheme="minorHAnsi"/>
        </w:rPr>
        <w:t>observe</w:t>
      </w:r>
      <w:r>
        <w:rPr>
          <w:rFonts w:ascii="Garamond" w:eastAsiaTheme="minorEastAsia" w:hAnsi="Garamond" w:cstheme="minorHAnsi"/>
        </w:rPr>
        <w:t xml:space="preserve"> (i.e., the 6</w:t>
      </w:r>
      <w:r w:rsidRPr="008D7D5D">
        <w:rPr>
          <w:rFonts w:ascii="Garamond" w:eastAsiaTheme="minorEastAsia" w:hAnsi="Garamond" w:cstheme="minorHAnsi"/>
          <w:vertAlign w:val="superscript"/>
        </w:rPr>
        <w:t>th</w:t>
      </w:r>
      <w:r>
        <w:rPr>
          <w:rFonts w:ascii="Garamond" w:eastAsiaTheme="minorEastAsia" w:hAnsi="Garamond" w:cstheme="minorHAnsi"/>
        </w:rPr>
        <w:t xml:space="preserve"> and 7</w:t>
      </w:r>
      <w:r w:rsidRPr="008D7D5D">
        <w:rPr>
          <w:rFonts w:ascii="Garamond" w:eastAsiaTheme="minorEastAsia" w:hAnsi="Garamond" w:cstheme="minorHAnsi"/>
          <w:vertAlign w:val="superscript"/>
        </w:rPr>
        <w:t>th</w:t>
      </w:r>
      <w:r>
        <w:rPr>
          <w:rFonts w:ascii="Garamond" w:eastAsiaTheme="minorEastAsia" w:hAnsi="Garamond" w:cstheme="minorHAnsi"/>
        </w:rPr>
        <w:t xml:space="preserve"> post-treatment months), we find that our inferences are sensitive to even </w:t>
      </w:r>
      <w:r w:rsidR="0029055D">
        <w:rPr>
          <w:rFonts w:ascii="Garamond" w:eastAsiaTheme="minorEastAsia" w:hAnsi="Garamond" w:cstheme="minorHAnsi"/>
        </w:rPr>
        <w:t>small</w:t>
      </w:r>
      <w:r>
        <w:rPr>
          <w:rFonts w:ascii="Garamond" w:eastAsiaTheme="minorEastAsia" w:hAnsi="Garamond" w:cstheme="minorHAnsi"/>
        </w:rPr>
        <w:t xml:space="preserve"> violations of the parallel trends assumption. We </w:t>
      </w:r>
      <w:r w:rsidR="00B332D4">
        <w:rPr>
          <w:rFonts w:ascii="Garamond" w:eastAsiaTheme="minorEastAsia" w:hAnsi="Garamond" w:cstheme="minorHAnsi"/>
        </w:rPr>
        <w:t>therefore conclude that while evidence is suggestive of an increase in background checks following the loophole rule change, we cannot conclusively determine if it was because of the rule change versus confounding factor</w:t>
      </w:r>
      <w:r w:rsidR="002570D0">
        <w:rPr>
          <w:rFonts w:ascii="Garamond" w:eastAsiaTheme="minorEastAsia" w:hAnsi="Garamond" w:cstheme="minorHAnsi"/>
        </w:rPr>
        <w:t>s</w:t>
      </w:r>
      <w:r w:rsidR="00B332D4">
        <w:rPr>
          <w:rFonts w:ascii="Garamond" w:eastAsiaTheme="minorEastAsia" w:hAnsi="Garamond" w:cstheme="minorHAnsi"/>
        </w:rPr>
        <w:t xml:space="preserve">. </w:t>
      </w:r>
    </w:p>
    <w:p w14:paraId="5DB4BC8C" w14:textId="77777777" w:rsidR="00E173F1" w:rsidRDefault="00E173F1" w:rsidP="00606B56">
      <w:pPr>
        <w:spacing w:line="480" w:lineRule="auto"/>
        <w:jc w:val="both"/>
        <w:rPr>
          <w:rFonts w:ascii="Garamond" w:eastAsiaTheme="minorEastAsia" w:hAnsi="Garamond" w:cstheme="minorHAnsi"/>
        </w:rPr>
      </w:pPr>
    </w:p>
    <w:p w14:paraId="627C3208" w14:textId="6504C8BD" w:rsidR="00BC3336" w:rsidRPr="006A79B9" w:rsidRDefault="00E173F1" w:rsidP="00606B56">
      <w:pPr>
        <w:widowControl w:val="0"/>
        <w:spacing w:line="480" w:lineRule="auto"/>
        <w:jc w:val="both"/>
        <w:rPr>
          <w:rFonts w:ascii="Garamond" w:hAnsi="Garamond"/>
          <w:b/>
          <w:bCs/>
        </w:rPr>
      </w:pPr>
      <w:r>
        <w:rPr>
          <w:rFonts w:ascii="Garamond" w:hAnsi="Garamond"/>
          <w:b/>
          <w:bCs/>
        </w:rPr>
        <w:t xml:space="preserve">Further </w:t>
      </w:r>
      <w:r w:rsidR="00BC3336">
        <w:rPr>
          <w:rFonts w:ascii="Garamond" w:hAnsi="Garamond"/>
          <w:b/>
          <w:bCs/>
        </w:rPr>
        <w:t>Robustness Analyses</w:t>
      </w:r>
    </w:p>
    <w:p w14:paraId="621457B3" w14:textId="52050B55" w:rsidR="0017282C" w:rsidRDefault="00BC3336" w:rsidP="00606B56">
      <w:pPr>
        <w:spacing w:line="480" w:lineRule="auto"/>
        <w:jc w:val="both"/>
        <w:rPr>
          <w:rFonts w:ascii="Garamond" w:eastAsiaTheme="minorEastAsia" w:hAnsi="Garamond" w:cstheme="minorHAnsi"/>
        </w:rPr>
      </w:pPr>
      <w:r>
        <w:rPr>
          <w:rFonts w:ascii="Garamond" w:eastAsiaTheme="minorEastAsia" w:hAnsi="Garamond" w:cstheme="minorHAnsi"/>
        </w:rPr>
        <w:t>Analyses thus far reveal a non-significant relationship between the rule change and FFLs and a positive effect of the rule change on background checks in some months</w:t>
      </w:r>
      <w:r w:rsidR="0017282C">
        <w:rPr>
          <w:rFonts w:ascii="Garamond" w:eastAsiaTheme="minorEastAsia" w:hAnsi="Garamond" w:cstheme="minorHAnsi"/>
        </w:rPr>
        <w:t xml:space="preserve">, although we </w:t>
      </w:r>
      <w:r w:rsidR="002570D0">
        <w:rPr>
          <w:rFonts w:ascii="Garamond" w:eastAsiaTheme="minorEastAsia" w:hAnsi="Garamond" w:cstheme="minorHAnsi"/>
        </w:rPr>
        <w:t xml:space="preserve">again </w:t>
      </w:r>
      <w:r w:rsidR="0017282C">
        <w:rPr>
          <w:rFonts w:ascii="Garamond" w:eastAsiaTheme="minorEastAsia" w:hAnsi="Garamond" w:cstheme="minorHAnsi"/>
        </w:rPr>
        <w:t xml:space="preserve">caution whether to interpret the </w:t>
      </w:r>
      <w:r w:rsidR="002E44EA">
        <w:rPr>
          <w:rFonts w:ascii="Garamond" w:eastAsiaTheme="minorEastAsia" w:hAnsi="Garamond" w:cstheme="minorHAnsi"/>
        </w:rPr>
        <w:t xml:space="preserve">latter </w:t>
      </w:r>
      <w:r w:rsidR="0017282C">
        <w:rPr>
          <w:rFonts w:ascii="Garamond" w:eastAsiaTheme="minorEastAsia" w:hAnsi="Garamond" w:cstheme="minorHAnsi"/>
        </w:rPr>
        <w:t>effect as causal given the lack of parallel trends in the pre-intervention period</w:t>
      </w:r>
      <w:r w:rsidR="00E727FB">
        <w:rPr>
          <w:rFonts w:ascii="Garamond" w:eastAsiaTheme="minorEastAsia" w:hAnsi="Garamond" w:cstheme="minorHAnsi"/>
        </w:rPr>
        <w:t>, which may be due to differential seasonality</w:t>
      </w:r>
      <w:r w:rsidR="0017282C">
        <w:rPr>
          <w:rFonts w:ascii="Garamond" w:eastAsiaTheme="minorEastAsia" w:hAnsi="Garamond" w:cstheme="minorHAnsi"/>
        </w:rPr>
        <w:t xml:space="preserve">. </w:t>
      </w:r>
      <w:r w:rsidR="002E44EA">
        <w:rPr>
          <w:rFonts w:ascii="Garamond" w:eastAsiaTheme="minorEastAsia" w:hAnsi="Garamond" w:cstheme="minorHAnsi"/>
        </w:rPr>
        <w:t>Both</w:t>
      </w:r>
      <w:r w:rsidR="0017282C">
        <w:rPr>
          <w:rFonts w:ascii="Garamond" w:eastAsiaTheme="minorEastAsia" w:hAnsi="Garamond" w:cstheme="minorHAnsi"/>
        </w:rPr>
        <w:t xml:space="preserve"> analyses may be interpreted as the treatment effect on the treated</w:t>
      </w:r>
      <w:r w:rsidR="002570D0">
        <w:rPr>
          <w:rFonts w:ascii="Garamond" w:eastAsiaTheme="minorEastAsia" w:hAnsi="Garamond" w:cstheme="minorHAnsi"/>
        </w:rPr>
        <w:t xml:space="preserve"> (TOT)</w:t>
      </w:r>
      <w:r w:rsidR="0017282C">
        <w:rPr>
          <w:rFonts w:ascii="Garamond" w:eastAsiaTheme="minorEastAsia" w:hAnsi="Garamond" w:cstheme="minorHAnsi"/>
        </w:rPr>
        <w:t xml:space="preserve"> states. As stated, these analyses exclude the four states that received </w:t>
      </w:r>
      <w:r w:rsidR="00A34C48">
        <w:rPr>
          <w:rFonts w:ascii="Garamond" w:eastAsiaTheme="minorEastAsia" w:hAnsi="Garamond" w:cstheme="minorHAnsi"/>
        </w:rPr>
        <w:t xml:space="preserve">preliminary injunctive </w:t>
      </w:r>
      <w:r w:rsidR="0017282C">
        <w:rPr>
          <w:rFonts w:ascii="Garamond" w:eastAsiaTheme="minorEastAsia" w:hAnsi="Garamond" w:cstheme="minorHAnsi"/>
        </w:rPr>
        <w:t>relief by a federal court from having to implement the rule change.</w:t>
      </w:r>
    </w:p>
    <w:p w14:paraId="5AE6CA1F" w14:textId="3A306E3A" w:rsidR="002570D0" w:rsidRDefault="0017282C" w:rsidP="00206DA9">
      <w:pPr>
        <w:spacing w:line="480" w:lineRule="auto"/>
        <w:ind w:firstLine="720"/>
        <w:jc w:val="both"/>
        <w:rPr>
          <w:rFonts w:ascii="Garamond" w:eastAsiaTheme="minorEastAsia" w:hAnsi="Garamond" w:cstheme="minorHAnsi"/>
        </w:rPr>
      </w:pPr>
      <w:r>
        <w:rPr>
          <w:rFonts w:ascii="Garamond" w:eastAsiaTheme="minorEastAsia" w:hAnsi="Garamond" w:cstheme="minorHAnsi"/>
        </w:rPr>
        <w:t xml:space="preserve">As a test of robustness, we re-estimate our event study models in an intention-to-treat </w:t>
      </w:r>
      <w:r w:rsidR="002570D0">
        <w:rPr>
          <w:rFonts w:ascii="Garamond" w:eastAsiaTheme="minorEastAsia" w:hAnsi="Garamond" w:cstheme="minorHAnsi"/>
        </w:rPr>
        <w:t xml:space="preserve">(ITT) </w:t>
      </w:r>
      <w:r>
        <w:rPr>
          <w:rFonts w:ascii="Garamond" w:eastAsiaTheme="minorEastAsia" w:hAnsi="Garamond" w:cstheme="minorHAnsi"/>
        </w:rPr>
        <w:t xml:space="preserve">analysis that includes the four previously excluded states in the treatment group. None of these states — </w:t>
      </w:r>
      <w:r w:rsidRPr="006A79B9">
        <w:rPr>
          <w:rFonts w:ascii="Garamond" w:hAnsi="Garamond"/>
        </w:rPr>
        <w:t>Texas, Louisiana, Mississippi, and Utah</w:t>
      </w:r>
      <w:r>
        <w:rPr>
          <w:rFonts w:ascii="Garamond" w:eastAsiaTheme="minorEastAsia" w:hAnsi="Garamond" w:cstheme="minorHAnsi"/>
        </w:rPr>
        <w:t xml:space="preserve"> — have state background check laws. </w:t>
      </w:r>
      <w:r w:rsidR="002570D0">
        <w:rPr>
          <w:rFonts w:ascii="Garamond" w:eastAsiaTheme="minorEastAsia" w:hAnsi="Garamond" w:cstheme="minorHAnsi"/>
        </w:rPr>
        <w:t xml:space="preserve">While they did not technically receive the intervention, they were assigned the intervention. </w:t>
      </w:r>
      <w:r w:rsidR="00A34C48">
        <w:rPr>
          <w:rFonts w:ascii="Garamond" w:eastAsiaTheme="minorEastAsia" w:hAnsi="Garamond" w:cstheme="minorHAnsi"/>
        </w:rPr>
        <w:t xml:space="preserve">It may be the case that some would-be sellers, because </w:t>
      </w:r>
      <w:r w:rsidR="00DD0EB0">
        <w:rPr>
          <w:rFonts w:ascii="Garamond" w:eastAsiaTheme="minorEastAsia" w:hAnsi="Garamond" w:cstheme="minorHAnsi"/>
        </w:rPr>
        <w:t xml:space="preserve">injunctive </w:t>
      </w:r>
      <w:r w:rsidR="00A34C48">
        <w:rPr>
          <w:rFonts w:ascii="Garamond" w:eastAsiaTheme="minorEastAsia" w:hAnsi="Garamond" w:cstheme="minorHAnsi"/>
        </w:rPr>
        <w:t>relief was temporary, decided to proceed with obtaining an FFL or directed sales through an FFL.</w:t>
      </w:r>
    </w:p>
    <w:p w14:paraId="56A36AAA" w14:textId="0907A024" w:rsidR="0017282C" w:rsidRDefault="000439E9" w:rsidP="00DD0EB0">
      <w:pPr>
        <w:spacing w:line="480" w:lineRule="auto"/>
        <w:ind w:firstLine="720"/>
        <w:jc w:val="both"/>
        <w:rPr>
          <w:rFonts w:ascii="Garamond" w:eastAsiaTheme="minorEastAsia" w:hAnsi="Garamond" w:cstheme="minorHAnsi"/>
        </w:rPr>
      </w:pPr>
      <w:r>
        <w:rPr>
          <w:rFonts w:ascii="Garamond" w:eastAsiaTheme="minorEastAsia" w:hAnsi="Garamond" w:cstheme="minorHAnsi"/>
        </w:rPr>
        <w:lastRenderedPageBreak/>
        <w:t xml:space="preserve">Results are presented in Table </w:t>
      </w:r>
      <w:r w:rsidR="00511088">
        <w:rPr>
          <w:rFonts w:ascii="Garamond" w:eastAsiaTheme="minorEastAsia" w:hAnsi="Garamond" w:cstheme="minorHAnsi"/>
        </w:rPr>
        <w:t>3</w:t>
      </w:r>
      <w:r>
        <w:rPr>
          <w:rFonts w:ascii="Garamond" w:eastAsiaTheme="minorEastAsia" w:hAnsi="Garamond" w:cstheme="minorHAnsi"/>
        </w:rPr>
        <w:t>.</w:t>
      </w:r>
      <w:r w:rsidR="00DC18C6">
        <w:rPr>
          <w:rStyle w:val="FootnoteReference"/>
          <w:rFonts w:ascii="Garamond" w:eastAsiaTheme="minorEastAsia" w:hAnsi="Garamond" w:cstheme="minorHAnsi"/>
        </w:rPr>
        <w:footnoteReference w:id="9"/>
      </w:r>
      <w:r w:rsidR="00097C89">
        <w:rPr>
          <w:rFonts w:ascii="Garamond" w:eastAsiaTheme="minorEastAsia" w:hAnsi="Garamond" w:cstheme="minorHAnsi"/>
        </w:rPr>
        <w:t xml:space="preserve"> Highly </w:t>
      </w:r>
      <w:proofErr w:type="gramStart"/>
      <w:r w:rsidR="00097C89">
        <w:rPr>
          <w:rFonts w:ascii="Garamond" w:eastAsiaTheme="minorEastAsia" w:hAnsi="Garamond" w:cstheme="minorHAnsi"/>
        </w:rPr>
        <w:t>similar to</w:t>
      </w:r>
      <w:proofErr w:type="gramEnd"/>
      <w:r w:rsidR="00097C89">
        <w:rPr>
          <w:rFonts w:ascii="Garamond" w:eastAsiaTheme="minorEastAsia" w:hAnsi="Garamond" w:cstheme="minorHAnsi"/>
        </w:rPr>
        <w:t xml:space="preserve"> the DiD analyses presented in Tables </w:t>
      </w:r>
      <w:r w:rsidR="0077134C">
        <w:rPr>
          <w:rFonts w:ascii="Garamond" w:eastAsiaTheme="minorEastAsia" w:hAnsi="Garamond" w:cstheme="minorHAnsi"/>
        </w:rPr>
        <w:t>1</w:t>
      </w:r>
      <w:r w:rsidR="00097C89">
        <w:rPr>
          <w:rFonts w:ascii="Garamond" w:eastAsiaTheme="minorEastAsia" w:hAnsi="Garamond" w:cstheme="minorHAnsi"/>
        </w:rPr>
        <w:t xml:space="preserve"> and </w:t>
      </w:r>
      <w:r w:rsidR="0077134C">
        <w:rPr>
          <w:rFonts w:ascii="Garamond" w:eastAsiaTheme="minorEastAsia" w:hAnsi="Garamond" w:cstheme="minorHAnsi"/>
        </w:rPr>
        <w:t>2</w:t>
      </w:r>
      <w:r w:rsidR="00097C89">
        <w:rPr>
          <w:rFonts w:ascii="Garamond" w:eastAsiaTheme="minorEastAsia" w:hAnsi="Garamond" w:cstheme="minorHAnsi"/>
        </w:rPr>
        <w:t>, the intention-to-treat analys</w:t>
      </w:r>
      <w:r w:rsidR="00DC18C6">
        <w:rPr>
          <w:rFonts w:ascii="Garamond" w:eastAsiaTheme="minorEastAsia" w:hAnsi="Garamond" w:cstheme="minorHAnsi"/>
        </w:rPr>
        <w:t>e</w:t>
      </w:r>
      <w:r w:rsidR="00097C89">
        <w:rPr>
          <w:rFonts w:ascii="Garamond" w:eastAsiaTheme="minorEastAsia" w:hAnsi="Garamond" w:cstheme="minorHAnsi"/>
        </w:rPr>
        <w:t xml:space="preserve">s reveal no effect of the loophole rule change on the number of new FFLs or background checks for firearm purchases. </w:t>
      </w:r>
    </w:p>
    <w:p w14:paraId="267C409A" w14:textId="77777777" w:rsidR="0017282C" w:rsidRDefault="0017282C" w:rsidP="00DD0EB0">
      <w:pPr>
        <w:spacing w:line="480" w:lineRule="auto"/>
        <w:jc w:val="both"/>
        <w:rPr>
          <w:rFonts w:ascii="Garamond" w:eastAsiaTheme="minorEastAsia" w:hAnsi="Garamond" w:cstheme="minorHAnsi"/>
        </w:rPr>
      </w:pPr>
    </w:p>
    <w:p w14:paraId="4B1C556A" w14:textId="7D67423B" w:rsidR="000439E9" w:rsidRPr="006A79B9" w:rsidRDefault="000439E9" w:rsidP="000439E9">
      <w:pPr>
        <w:spacing w:line="240" w:lineRule="auto"/>
        <w:jc w:val="both"/>
        <w:rPr>
          <w:rFonts w:ascii="Garamond" w:hAnsi="Garamond" w:cstheme="minorHAnsi"/>
          <w:b/>
          <w:bCs/>
        </w:rPr>
      </w:pPr>
      <w:r w:rsidRPr="006A79B9">
        <w:rPr>
          <w:rFonts w:ascii="Garamond" w:hAnsi="Garamond" w:cstheme="minorHAnsi"/>
          <w:b/>
          <w:bCs/>
        </w:rPr>
        <w:t xml:space="preserve">Table </w:t>
      </w:r>
      <w:r w:rsidR="00511088">
        <w:rPr>
          <w:rFonts w:ascii="Garamond" w:hAnsi="Garamond" w:cstheme="minorHAnsi"/>
          <w:b/>
          <w:bCs/>
        </w:rPr>
        <w:t>3</w:t>
      </w:r>
      <w:r w:rsidRPr="006A79B9">
        <w:rPr>
          <w:rFonts w:ascii="Garamond" w:hAnsi="Garamond" w:cstheme="minorHAnsi"/>
          <w:b/>
          <w:bCs/>
        </w:rPr>
        <w:t xml:space="preserve">. </w:t>
      </w:r>
      <w:r>
        <w:rPr>
          <w:rFonts w:ascii="Garamond" w:hAnsi="Garamond" w:cstheme="minorHAnsi"/>
          <w:b/>
          <w:bCs/>
        </w:rPr>
        <w:t>DiD Robustness Analyses</w:t>
      </w:r>
      <w:r w:rsidR="00DE5553">
        <w:rPr>
          <w:rFonts w:ascii="Garamond" w:hAnsi="Garamond" w:cstheme="minorHAnsi"/>
          <w:b/>
          <w:bCs/>
        </w:rPr>
        <w:t>: Intention-to-Treat</w:t>
      </w:r>
    </w:p>
    <w:tbl>
      <w:tblPr>
        <w:tblW w:w="0" w:type="auto"/>
        <w:tblLayout w:type="fixed"/>
        <w:tblLook w:val="04A0" w:firstRow="1" w:lastRow="0" w:firstColumn="1" w:lastColumn="0" w:noHBand="0" w:noVBand="1"/>
      </w:tblPr>
      <w:tblGrid>
        <w:gridCol w:w="1710"/>
        <w:gridCol w:w="1215"/>
        <w:gridCol w:w="1215"/>
        <w:gridCol w:w="360"/>
        <w:gridCol w:w="1215"/>
        <w:gridCol w:w="1215"/>
      </w:tblGrid>
      <w:tr w:rsidR="00AD7F0A" w:rsidRPr="00AD7F0A" w14:paraId="5E41D256" w14:textId="77777777" w:rsidTr="00DD0EB0">
        <w:tc>
          <w:tcPr>
            <w:tcW w:w="1710" w:type="dxa"/>
            <w:tcBorders>
              <w:top w:val="single" w:sz="4" w:space="0" w:color="auto"/>
              <w:left w:val="nil"/>
              <w:bottom w:val="nil"/>
              <w:right w:val="nil"/>
            </w:tcBorders>
          </w:tcPr>
          <w:p w14:paraId="1905AD9C" w14:textId="77777777" w:rsidR="00AD7F0A" w:rsidRPr="00AD7F0A" w:rsidRDefault="00AD7F0A" w:rsidP="00AD7F0A">
            <w:pPr>
              <w:spacing w:line="240" w:lineRule="auto"/>
              <w:jc w:val="both"/>
              <w:rPr>
                <w:rFonts w:ascii="Garamond" w:hAnsi="Garamond" w:cstheme="minorHAnsi"/>
              </w:rPr>
            </w:pPr>
          </w:p>
        </w:tc>
        <w:tc>
          <w:tcPr>
            <w:tcW w:w="2430" w:type="dxa"/>
            <w:gridSpan w:val="2"/>
            <w:tcBorders>
              <w:top w:val="single" w:sz="4" w:space="0" w:color="auto"/>
              <w:left w:val="nil"/>
              <w:bottom w:val="nil"/>
              <w:right w:val="nil"/>
            </w:tcBorders>
          </w:tcPr>
          <w:p w14:paraId="1E1AE0FD" w14:textId="6AAC5ED8" w:rsidR="00AD7F0A" w:rsidRPr="00AD7F0A" w:rsidRDefault="00AD7F0A" w:rsidP="00AD7F0A">
            <w:pPr>
              <w:spacing w:line="240" w:lineRule="auto"/>
              <w:jc w:val="center"/>
              <w:rPr>
                <w:rFonts w:ascii="Garamond" w:hAnsi="Garamond" w:cstheme="minorHAnsi"/>
              </w:rPr>
            </w:pPr>
            <w:r w:rsidRPr="00AD7F0A">
              <w:rPr>
                <w:rFonts w:ascii="Garamond" w:hAnsi="Garamond" w:cstheme="minorHAnsi"/>
              </w:rPr>
              <w:t>FFLs</w:t>
            </w:r>
          </w:p>
        </w:tc>
        <w:tc>
          <w:tcPr>
            <w:tcW w:w="360" w:type="dxa"/>
            <w:tcBorders>
              <w:top w:val="single" w:sz="4" w:space="0" w:color="auto"/>
              <w:left w:val="nil"/>
              <w:bottom w:val="nil"/>
              <w:right w:val="nil"/>
            </w:tcBorders>
          </w:tcPr>
          <w:p w14:paraId="343A2E60" w14:textId="77777777" w:rsidR="00AD7F0A" w:rsidRPr="00AD7F0A" w:rsidRDefault="00AD7F0A" w:rsidP="00AD7F0A">
            <w:pPr>
              <w:spacing w:line="240" w:lineRule="auto"/>
              <w:jc w:val="center"/>
              <w:rPr>
                <w:rFonts w:ascii="Garamond" w:hAnsi="Garamond" w:cstheme="minorHAnsi"/>
              </w:rPr>
            </w:pPr>
          </w:p>
        </w:tc>
        <w:tc>
          <w:tcPr>
            <w:tcW w:w="2430" w:type="dxa"/>
            <w:gridSpan w:val="2"/>
            <w:tcBorders>
              <w:top w:val="single" w:sz="4" w:space="0" w:color="auto"/>
              <w:left w:val="nil"/>
              <w:bottom w:val="nil"/>
              <w:right w:val="nil"/>
            </w:tcBorders>
          </w:tcPr>
          <w:p w14:paraId="083609E7" w14:textId="44A03432" w:rsidR="00AD7F0A" w:rsidRPr="00AD7F0A" w:rsidRDefault="00A7291E" w:rsidP="00AD7F0A">
            <w:pPr>
              <w:spacing w:line="240" w:lineRule="auto"/>
              <w:jc w:val="center"/>
              <w:rPr>
                <w:rFonts w:ascii="Garamond" w:hAnsi="Garamond" w:cstheme="minorHAnsi"/>
              </w:rPr>
            </w:pPr>
            <w:r>
              <w:rPr>
                <w:rFonts w:ascii="Garamond" w:hAnsi="Garamond" w:cstheme="minorHAnsi"/>
              </w:rPr>
              <w:t>Background Checks</w:t>
            </w:r>
          </w:p>
        </w:tc>
      </w:tr>
      <w:tr w:rsidR="00AD7F0A" w:rsidRPr="00AD7F0A" w14:paraId="77B2FF82" w14:textId="77777777" w:rsidTr="00DD0EB0">
        <w:tc>
          <w:tcPr>
            <w:tcW w:w="1710" w:type="dxa"/>
            <w:tcBorders>
              <w:left w:val="nil"/>
              <w:bottom w:val="nil"/>
              <w:right w:val="nil"/>
            </w:tcBorders>
          </w:tcPr>
          <w:p w14:paraId="78516BF7" w14:textId="77777777" w:rsidR="00AD7F0A" w:rsidRPr="00AD7F0A" w:rsidRDefault="00AD7F0A" w:rsidP="00AD7F0A">
            <w:pPr>
              <w:spacing w:line="240" w:lineRule="auto"/>
              <w:jc w:val="both"/>
              <w:rPr>
                <w:rFonts w:ascii="Garamond" w:hAnsi="Garamond" w:cstheme="minorHAnsi"/>
              </w:rPr>
            </w:pPr>
          </w:p>
        </w:tc>
        <w:tc>
          <w:tcPr>
            <w:tcW w:w="1215" w:type="dxa"/>
            <w:tcBorders>
              <w:left w:val="nil"/>
              <w:bottom w:val="nil"/>
              <w:right w:val="nil"/>
            </w:tcBorders>
          </w:tcPr>
          <w:p w14:paraId="1016AA59" w14:textId="71BF8292" w:rsidR="00AD7F0A" w:rsidRPr="00AD7F0A" w:rsidRDefault="00AD7F0A" w:rsidP="00AD7F0A">
            <w:pPr>
              <w:spacing w:line="240" w:lineRule="auto"/>
              <w:jc w:val="both"/>
              <w:rPr>
                <w:rFonts w:ascii="Garamond" w:hAnsi="Garamond" w:cstheme="minorHAnsi"/>
              </w:rPr>
            </w:pPr>
            <w:r w:rsidRPr="00AD7F0A">
              <w:rPr>
                <w:rFonts w:ascii="Garamond" w:hAnsi="Garamond" w:cstheme="minorHAnsi"/>
              </w:rPr>
              <w:t>Coef.</w:t>
            </w:r>
          </w:p>
        </w:tc>
        <w:tc>
          <w:tcPr>
            <w:tcW w:w="1215" w:type="dxa"/>
            <w:tcBorders>
              <w:left w:val="nil"/>
              <w:bottom w:val="nil"/>
              <w:right w:val="nil"/>
            </w:tcBorders>
          </w:tcPr>
          <w:p w14:paraId="5091D865" w14:textId="5B010FC7" w:rsidR="00AD7F0A" w:rsidRPr="00AD7F0A" w:rsidRDefault="00AD7F0A" w:rsidP="00AD7F0A">
            <w:pPr>
              <w:spacing w:line="240" w:lineRule="auto"/>
              <w:jc w:val="both"/>
              <w:rPr>
                <w:rFonts w:ascii="Garamond" w:hAnsi="Garamond" w:cstheme="minorHAnsi"/>
              </w:rPr>
            </w:pPr>
            <w:r w:rsidRPr="00AD7F0A">
              <w:rPr>
                <w:rFonts w:ascii="Garamond" w:hAnsi="Garamond" w:cstheme="minorHAnsi"/>
              </w:rPr>
              <w:t>Std. Err.</w:t>
            </w:r>
          </w:p>
        </w:tc>
        <w:tc>
          <w:tcPr>
            <w:tcW w:w="360" w:type="dxa"/>
            <w:tcBorders>
              <w:left w:val="nil"/>
              <w:bottom w:val="nil"/>
              <w:right w:val="nil"/>
            </w:tcBorders>
          </w:tcPr>
          <w:p w14:paraId="42C7D420" w14:textId="77777777" w:rsidR="00AD7F0A" w:rsidRPr="00AD7F0A" w:rsidRDefault="00AD7F0A" w:rsidP="00AD7F0A">
            <w:pPr>
              <w:spacing w:line="240" w:lineRule="auto"/>
              <w:jc w:val="both"/>
              <w:rPr>
                <w:rFonts w:ascii="Garamond" w:hAnsi="Garamond" w:cstheme="minorHAnsi"/>
              </w:rPr>
            </w:pPr>
          </w:p>
        </w:tc>
        <w:tc>
          <w:tcPr>
            <w:tcW w:w="1215" w:type="dxa"/>
            <w:tcBorders>
              <w:left w:val="nil"/>
              <w:bottom w:val="nil"/>
              <w:right w:val="nil"/>
            </w:tcBorders>
          </w:tcPr>
          <w:p w14:paraId="66A7CB8E" w14:textId="3711D93D" w:rsidR="00AD7F0A" w:rsidRPr="00AD7F0A" w:rsidRDefault="00AD7F0A" w:rsidP="00AD7F0A">
            <w:pPr>
              <w:spacing w:line="240" w:lineRule="auto"/>
              <w:jc w:val="both"/>
              <w:rPr>
                <w:rFonts w:ascii="Garamond" w:hAnsi="Garamond" w:cstheme="minorHAnsi"/>
              </w:rPr>
            </w:pPr>
            <w:r w:rsidRPr="00AD7F0A">
              <w:rPr>
                <w:rFonts w:ascii="Garamond" w:hAnsi="Garamond" w:cstheme="minorHAnsi"/>
              </w:rPr>
              <w:t>Coef.</w:t>
            </w:r>
          </w:p>
        </w:tc>
        <w:tc>
          <w:tcPr>
            <w:tcW w:w="1215" w:type="dxa"/>
            <w:tcBorders>
              <w:left w:val="nil"/>
              <w:bottom w:val="nil"/>
              <w:right w:val="nil"/>
            </w:tcBorders>
          </w:tcPr>
          <w:p w14:paraId="4E38E4EC" w14:textId="08466B1A" w:rsidR="00AD7F0A" w:rsidRPr="00AD7F0A" w:rsidRDefault="00AD7F0A" w:rsidP="00AD7F0A">
            <w:pPr>
              <w:spacing w:line="240" w:lineRule="auto"/>
              <w:jc w:val="both"/>
              <w:rPr>
                <w:rFonts w:ascii="Garamond" w:hAnsi="Garamond" w:cstheme="minorHAnsi"/>
              </w:rPr>
            </w:pPr>
            <w:r w:rsidRPr="00AD7F0A">
              <w:rPr>
                <w:rFonts w:ascii="Garamond" w:hAnsi="Garamond" w:cstheme="minorHAnsi"/>
              </w:rPr>
              <w:t>Std. Err.</w:t>
            </w:r>
          </w:p>
        </w:tc>
      </w:tr>
      <w:tr w:rsidR="00AD7F0A" w:rsidRPr="00AD7F0A" w14:paraId="372C544C" w14:textId="77777777" w:rsidTr="00DD0EB0">
        <w:tc>
          <w:tcPr>
            <w:tcW w:w="1710" w:type="dxa"/>
            <w:tcBorders>
              <w:top w:val="single" w:sz="4" w:space="0" w:color="auto"/>
              <w:left w:val="nil"/>
              <w:bottom w:val="nil"/>
              <w:right w:val="nil"/>
            </w:tcBorders>
            <w:hideMark/>
          </w:tcPr>
          <w:p w14:paraId="1E2F226F" w14:textId="77777777" w:rsidR="00AD7F0A" w:rsidRPr="00AD7F0A" w:rsidRDefault="00AD7F0A" w:rsidP="00AD7F0A">
            <w:pPr>
              <w:spacing w:line="240" w:lineRule="auto"/>
              <w:jc w:val="both"/>
              <w:rPr>
                <w:rFonts w:ascii="Garamond" w:hAnsi="Garamond" w:cstheme="minorHAnsi"/>
              </w:rPr>
            </w:pPr>
            <w:r w:rsidRPr="00AD7F0A">
              <w:rPr>
                <w:rFonts w:ascii="Garamond" w:hAnsi="Garamond" w:cstheme="minorHAnsi"/>
              </w:rPr>
              <w:t>Treat</w:t>
            </w:r>
          </w:p>
        </w:tc>
        <w:tc>
          <w:tcPr>
            <w:tcW w:w="1215" w:type="dxa"/>
            <w:tcBorders>
              <w:top w:val="single" w:sz="4" w:space="0" w:color="auto"/>
              <w:left w:val="nil"/>
              <w:bottom w:val="nil"/>
              <w:right w:val="nil"/>
            </w:tcBorders>
          </w:tcPr>
          <w:p w14:paraId="346BE309" w14:textId="5D529C32" w:rsidR="00AD7F0A" w:rsidRPr="00AD7F0A" w:rsidRDefault="00097C89" w:rsidP="00AD7F0A">
            <w:pPr>
              <w:spacing w:line="240" w:lineRule="auto"/>
              <w:jc w:val="both"/>
              <w:rPr>
                <w:rFonts w:ascii="Garamond" w:hAnsi="Garamond" w:cstheme="minorHAnsi"/>
              </w:rPr>
            </w:pPr>
            <w:r>
              <w:rPr>
                <w:rFonts w:ascii="Garamond" w:hAnsi="Garamond" w:cstheme="minorHAnsi"/>
              </w:rPr>
              <w:t>0.099</w:t>
            </w:r>
          </w:p>
        </w:tc>
        <w:tc>
          <w:tcPr>
            <w:tcW w:w="1215" w:type="dxa"/>
            <w:tcBorders>
              <w:top w:val="single" w:sz="4" w:space="0" w:color="auto"/>
              <w:left w:val="nil"/>
              <w:bottom w:val="nil"/>
              <w:right w:val="nil"/>
            </w:tcBorders>
          </w:tcPr>
          <w:p w14:paraId="29F190B6" w14:textId="5C506E28" w:rsidR="00AD7F0A" w:rsidRPr="00AD7F0A" w:rsidRDefault="00097C89" w:rsidP="00AD7F0A">
            <w:pPr>
              <w:spacing w:line="240" w:lineRule="auto"/>
              <w:jc w:val="both"/>
              <w:rPr>
                <w:rFonts w:ascii="Garamond" w:hAnsi="Garamond" w:cstheme="minorHAnsi"/>
              </w:rPr>
            </w:pPr>
            <w:r>
              <w:rPr>
                <w:rFonts w:ascii="Garamond" w:hAnsi="Garamond" w:cstheme="minorHAnsi"/>
              </w:rPr>
              <w:t>0.057</w:t>
            </w:r>
          </w:p>
        </w:tc>
        <w:tc>
          <w:tcPr>
            <w:tcW w:w="360" w:type="dxa"/>
            <w:tcBorders>
              <w:left w:val="nil"/>
              <w:bottom w:val="nil"/>
              <w:right w:val="nil"/>
            </w:tcBorders>
          </w:tcPr>
          <w:p w14:paraId="2EA06C3C" w14:textId="77777777" w:rsidR="00AD7F0A" w:rsidRPr="00AD7F0A" w:rsidRDefault="00AD7F0A" w:rsidP="00AD7F0A">
            <w:pPr>
              <w:spacing w:line="240" w:lineRule="auto"/>
              <w:jc w:val="both"/>
              <w:rPr>
                <w:rFonts w:ascii="Garamond" w:hAnsi="Garamond" w:cstheme="minorHAnsi"/>
              </w:rPr>
            </w:pPr>
          </w:p>
        </w:tc>
        <w:tc>
          <w:tcPr>
            <w:tcW w:w="1215" w:type="dxa"/>
            <w:tcBorders>
              <w:top w:val="single" w:sz="4" w:space="0" w:color="auto"/>
              <w:left w:val="nil"/>
              <w:bottom w:val="nil"/>
              <w:right w:val="nil"/>
            </w:tcBorders>
          </w:tcPr>
          <w:p w14:paraId="1148B31A" w14:textId="368F561F" w:rsidR="00AD7F0A" w:rsidRPr="00AD7F0A" w:rsidRDefault="00097C89" w:rsidP="00AD7F0A">
            <w:pPr>
              <w:spacing w:line="240" w:lineRule="auto"/>
              <w:jc w:val="both"/>
              <w:rPr>
                <w:rFonts w:ascii="Garamond" w:hAnsi="Garamond" w:cstheme="minorHAnsi"/>
              </w:rPr>
            </w:pPr>
            <w:r>
              <w:rPr>
                <w:rFonts w:ascii="Garamond" w:hAnsi="Garamond" w:cstheme="minorHAnsi"/>
              </w:rPr>
              <w:t>0.012</w:t>
            </w:r>
          </w:p>
        </w:tc>
        <w:tc>
          <w:tcPr>
            <w:tcW w:w="1215" w:type="dxa"/>
            <w:tcBorders>
              <w:top w:val="single" w:sz="4" w:space="0" w:color="auto"/>
              <w:left w:val="nil"/>
              <w:bottom w:val="nil"/>
              <w:right w:val="nil"/>
            </w:tcBorders>
          </w:tcPr>
          <w:p w14:paraId="5A2D8E17" w14:textId="77777777" w:rsidR="00AD7F0A" w:rsidRDefault="00097C89" w:rsidP="00AD7F0A">
            <w:pPr>
              <w:spacing w:line="240" w:lineRule="auto"/>
              <w:jc w:val="both"/>
              <w:rPr>
                <w:rFonts w:ascii="Garamond" w:hAnsi="Garamond" w:cstheme="minorHAnsi"/>
              </w:rPr>
            </w:pPr>
            <w:r>
              <w:rPr>
                <w:rFonts w:ascii="Garamond" w:hAnsi="Garamond" w:cstheme="minorHAnsi"/>
              </w:rPr>
              <w:t>0.019</w:t>
            </w:r>
          </w:p>
          <w:p w14:paraId="09059B88" w14:textId="09011CD8" w:rsidR="00097C89" w:rsidRPr="00AD7F0A" w:rsidRDefault="00097C89" w:rsidP="00AD7F0A">
            <w:pPr>
              <w:spacing w:line="240" w:lineRule="auto"/>
              <w:jc w:val="both"/>
              <w:rPr>
                <w:rFonts w:ascii="Garamond" w:hAnsi="Garamond" w:cstheme="minorHAnsi"/>
              </w:rPr>
            </w:pPr>
          </w:p>
        </w:tc>
      </w:tr>
      <w:tr w:rsidR="00AD7F0A" w:rsidRPr="00AD7F0A" w14:paraId="4252CB74" w14:textId="77777777" w:rsidTr="00DD0EB0">
        <w:tc>
          <w:tcPr>
            <w:tcW w:w="1710" w:type="dxa"/>
            <w:tcBorders>
              <w:top w:val="nil"/>
              <w:left w:val="nil"/>
              <w:bottom w:val="single" w:sz="4" w:space="0" w:color="auto"/>
              <w:right w:val="nil"/>
            </w:tcBorders>
            <w:hideMark/>
          </w:tcPr>
          <w:p w14:paraId="3AAAC1AD" w14:textId="77777777" w:rsidR="00AD7F0A" w:rsidRPr="00AD7F0A" w:rsidRDefault="00AD7F0A" w:rsidP="00AD7F0A">
            <w:pPr>
              <w:spacing w:line="240" w:lineRule="auto"/>
              <w:jc w:val="both"/>
              <w:rPr>
                <w:rFonts w:ascii="Garamond" w:hAnsi="Garamond" w:cstheme="minorHAnsi"/>
              </w:rPr>
            </w:pPr>
            <w:r w:rsidRPr="00AD7F0A">
              <w:rPr>
                <w:rFonts w:ascii="Garamond" w:hAnsi="Garamond" w:cstheme="minorHAnsi"/>
              </w:rPr>
              <w:t>Constant</w:t>
            </w:r>
          </w:p>
        </w:tc>
        <w:tc>
          <w:tcPr>
            <w:tcW w:w="1215" w:type="dxa"/>
            <w:tcBorders>
              <w:top w:val="nil"/>
              <w:left w:val="nil"/>
              <w:bottom w:val="single" w:sz="4" w:space="0" w:color="auto"/>
              <w:right w:val="nil"/>
            </w:tcBorders>
          </w:tcPr>
          <w:p w14:paraId="1ECF8FED" w14:textId="573689B4" w:rsidR="00AD7F0A" w:rsidRPr="00AD7F0A" w:rsidRDefault="00097C89" w:rsidP="00AD7F0A">
            <w:pPr>
              <w:spacing w:line="240" w:lineRule="auto"/>
              <w:jc w:val="both"/>
              <w:rPr>
                <w:rFonts w:ascii="Garamond" w:hAnsi="Garamond" w:cstheme="minorHAnsi"/>
              </w:rPr>
            </w:pPr>
            <w:r>
              <w:rPr>
                <w:rFonts w:ascii="Garamond" w:hAnsi="Garamond" w:cstheme="minorHAnsi"/>
              </w:rPr>
              <w:t>1.860***</w:t>
            </w:r>
          </w:p>
        </w:tc>
        <w:tc>
          <w:tcPr>
            <w:tcW w:w="1215" w:type="dxa"/>
            <w:tcBorders>
              <w:top w:val="nil"/>
              <w:left w:val="nil"/>
              <w:bottom w:val="single" w:sz="4" w:space="0" w:color="auto"/>
              <w:right w:val="nil"/>
            </w:tcBorders>
          </w:tcPr>
          <w:p w14:paraId="1BD13969" w14:textId="7CD2DE95" w:rsidR="00AD7F0A" w:rsidRPr="00AD7F0A" w:rsidRDefault="00097C89" w:rsidP="00AD7F0A">
            <w:pPr>
              <w:spacing w:line="240" w:lineRule="auto"/>
              <w:jc w:val="both"/>
              <w:rPr>
                <w:rFonts w:ascii="Garamond" w:hAnsi="Garamond" w:cstheme="minorHAnsi"/>
              </w:rPr>
            </w:pPr>
            <w:r>
              <w:rPr>
                <w:rFonts w:ascii="Garamond" w:hAnsi="Garamond" w:cstheme="minorHAnsi"/>
              </w:rPr>
              <w:t>0.021</w:t>
            </w:r>
          </w:p>
        </w:tc>
        <w:tc>
          <w:tcPr>
            <w:tcW w:w="360" w:type="dxa"/>
            <w:tcBorders>
              <w:top w:val="nil"/>
              <w:left w:val="nil"/>
              <w:right w:val="nil"/>
            </w:tcBorders>
          </w:tcPr>
          <w:p w14:paraId="4EC9303B" w14:textId="77777777" w:rsidR="00AD7F0A" w:rsidRPr="00AD7F0A" w:rsidRDefault="00AD7F0A" w:rsidP="00AD7F0A">
            <w:pPr>
              <w:spacing w:line="240" w:lineRule="auto"/>
              <w:jc w:val="both"/>
              <w:rPr>
                <w:rFonts w:ascii="Garamond" w:hAnsi="Garamond" w:cstheme="minorHAnsi"/>
              </w:rPr>
            </w:pPr>
          </w:p>
        </w:tc>
        <w:tc>
          <w:tcPr>
            <w:tcW w:w="1215" w:type="dxa"/>
            <w:tcBorders>
              <w:top w:val="nil"/>
              <w:left w:val="nil"/>
              <w:bottom w:val="single" w:sz="4" w:space="0" w:color="auto"/>
              <w:right w:val="nil"/>
            </w:tcBorders>
          </w:tcPr>
          <w:p w14:paraId="43D4CA10" w14:textId="1CDF2331" w:rsidR="00AD7F0A" w:rsidRPr="00AD7F0A" w:rsidRDefault="00097C89" w:rsidP="00AD7F0A">
            <w:pPr>
              <w:spacing w:line="240" w:lineRule="auto"/>
              <w:jc w:val="both"/>
              <w:rPr>
                <w:rFonts w:ascii="Garamond" w:hAnsi="Garamond" w:cstheme="minorHAnsi"/>
              </w:rPr>
            </w:pPr>
            <w:r>
              <w:rPr>
                <w:rFonts w:ascii="Garamond" w:hAnsi="Garamond" w:cstheme="minorHAnsi"/>
              </w:rPr>
              <w:t>10.422***</w:t>
            </w:r>
          </w:p>
        </w:tc>
        <w:tc>
          <w:tcPr>
            <w:tcW w:w="1215" w:type="dxa"/>
            <w:tcBorders>
              <w:top w:val="nil"/>
              <w:left w:val="nil"/>
              <w:bottom w:val="single" w:sz="4" w:space="0" w:color="auto"/>
              <w:right w:val="nil"/>
            </w:tcBorders>
          </w:tcPr>
          <w:p w14:paraId="555894D6" w14:textId="2DDE26C3" w:rsidR="00AD7F0A" w:rsidRPr="00AD7F0A" w:rsidRDefault="00097C89" w:rsidP="00AD7F0A">
            <w:pPr>
              <w:spacing w:line="240" w:lineRule="auto"/>
              <w:jc w:val="both"/>
              <w:rPr>
                <w:rFonts w:ascii="Garamond" w:hAnsi="Garamond" w:cstheme="minorHAnsi"/>
              </w:rPr>
            </w:pPr>
            <w:r>
              <w:rPr>
                <w:rFonts w:ascii="Garamond" w:hAnsi="Garamond" w:cstheme="minorHAnsi"/>
              </w:rPr>
              <w:t>0.006</w:t>
            </w:r>
          </w:p>
        </w:tc>
      </w:tr>
      <w:tr w:rsidR="00AD7F0A" w:rsidRPr="00AD7F0A" w14:paraId="266BC776" w14:textId="77777777" w:rsidTr="00DD0EB0">
        <w:tc>
          <w:tcPr>
            <w:tcW w:w="1710" w:type="dxa"/>
            <w:tcBorders>
              <w:top w:val="nil"/>
              <w:left w:val="nil"/>
              <w:bottom w:val="single" w:sz="4" w:space="0" w:color="auto"/>
              <w:right w:val="nil"/>
            </w:tcBorders>
            <w:hideMark/>
          </w:tcPr>
          <w:p w14:paraId="7D5408B0" w14:textId="77777777" w:rsidR="00AD7F0A" w:rsidRPr="00AD7F0A" w:rsidRDefault="00AD7F0A" w:rsidP="00AD7F0A">
            <w:pPr>
              <w:spacing w:line="240" w:lineRule="auto"/>
              <w:jc w:val="both"/>
              <w:rPr>
                <w:rFonts w:ascii="Garamond" w:hAnsi="Garamond" w:cstheme="minorHAnsi"/>
              </w:rPr>
            </w:pPr>
            <w:r w:rsidRPr="00AD7F0A">
              <w:rPr>
                <w:rFonts w:ascii="Garamond" w:hAnsi="Garamond" w:cstheme="minorHAnsi"/>
              </w:rPr>
              <w:t>Observations</w:t>
            </w:r>
          </w:p>
          <w:p w14:paraId="1BDE4931" w14:textId="77777777" w:rsidR="00AD7F0A" w:rsidRPr="00AD7F0A" w:rsidRDefault="00AD7F0A" w:rsidP="00AD7F0A">
            <w:pPr>
              <w:spacing w:line="240" w:lineRule="auto"/>
              <w:jc w:val="both"/>
              <w:rPr>
                <w:rFonts w:ascii="Garamond" w:hAnsi="Garamond" w:cstheme="minorHAnsi"/>
              </w:rPr>
            </w:pPr>
            <w:r w:rsidRPr="00AD7F0A">
              <w:rPr>
                <w:rFonts w:ascii="Garamond" w:hAnsi="Garamond" w:cstheme="minorHAnsi"/>
              </w:rPr>
              <w:t>Clusters</w:t>
            </w:r>
          </w:p>
        </w:tc>
        <w:tc>
          <w:tcPr>
            <w:tcW w:w="1215" w:type="dxa"/>
            <w:tcBorders>
              <w:top w:val="nil"/>
              <w:left w:val="nil"/>
              <w:bottom w:val="single" w:sz="4" w:space="0" w:color="auto"/>
              <w:right w:val="nil"/>
            </w:tcBorders>
          </w:tcPr>
          <w:p w14:paraId="05ACBF7C" w14:textId="0F02725C" w:rsidR="00AD7F0A" w:rsidRPr="00AD7F0A" w:rsidRDefault="00AD7F0A" w:rsidP="00AD7F0A">
            <w:pPr>
              <w:spacing w:line="240" w:lineRule="auto"/>
              <w:jc w:val="both"/>
              <w:rPr>
                <w:rFonts w:ascii="Garamond" w:hAnsi="Garamond" w:cstheme="minorHAnsi"/>
              </w:rPr>
            </w:pPr>
            <w:r w:rsidRPr="00AD7F0A">
              <w:rPr>
                <w:rFonts w:ascii="Garamond" w:hAnsi="Garamond" w:cstheme="minorHAnsi"/>
              </w:rPr>
              <w:t>1</w:t>
            </w:r>
            <w:r w:rsidR="00097C89">
              <w:rPr>
                <w:rFonts w:ascii="Garamond" w:hAnsi="Garamond" w:cstheme="minorHAnsi"/>
              </w:rPr>
              <w:t>2</w:t>
            </w:r>
            <w:r w:rsidRPr="00AD7F0A">
              <w:rPr>
                <w:rFonts w:ascii="Garamond" w:hAnsi="Garamond" w:cstheme="minorHAnsi"/>
              </w:rPr>
              <w:t>50</w:t>
            </w:r>
          </w:p>
          <w:p w14:paraId="06A067A6" w14:textId="7E2F1F23" w:rsidR="00AD7F0A" w:rsidRPr="00AD7F0A" w:rsidRDefault="00097C89" w:rsidP="00AD7F0A">
            <w:pPr>
              <w:spacing w:line="240" w:lineRule="auto"/>
              <w:jc w:val="both"/>
              <w:rPr>
                <w:rFonts w:ascii="Garamond" w:hAnsi="Garamond" w:cstheme="minorHAnsi"/>
              </w:rPr>
            </w:pPr>
            <w:r>
              <w:rPr>
                <w:rFonts w:ascii="Garamond" w:hAnsi="Garamond" w:cstheme="minorHAnsi"/>
              </w:rPr>
              <w:t>50</w:t>
            </w:r>
          </w:p>
        </w:tc>
        <w:tc>
          <w:tcPr>
            <w:tcW w:w="1215" w:type="dxa"/>
            <w:tcBorders>
              <w:top w:val="nil"/>
              <w:left w:val="nil"/>
              <w:bottom w:val="single" w:sz="4" w:space="0" w:color="auto"/>
              <w:right w:val="nil"/>
            </w:tcBorders>
          </w:tcPr>
          <w:p w14:paraId="52B4F09E" w14:textId="77777777" w:rsidR="00AD7F0A" w:rsidRPr="00AD7F0A" w:rsidRDefault="00AD7F0A" w:rsidP="00AD7F0A">
            <w:pPr>
              <w:spacing w:line="240" w:lineRule="auto"/>
              <w:jc w:val="both"/>
              <w:rPr>
                <w:rFonts w:ascii="Garamond" w:hAnsi="Garamond" w:cstheme="minorHAnsi"/>
              </w:rPr>
            </w:pPr>
          </w:p>
        </w:tc>
        <w:tc>
          <w:tcPr>
            <w:tcW w:w="360" w:type="dxa"/>
            <w:tcBorders>
              <w:top w:val="nil"/>
              <w:left w:val="nil"/>
              <w:bottom w:val="single" w:sz="4" w:space="0" w:color="auto"/>
              <w:right w:val="nil"/>
            </w:tcBorders>
          </w:tcPr>
          <w:p w14:paraId="61FDE590" w14:textId="77777777" w:rsidR="00AD7F0A" w:rsidRPr="00AD7F0A" w:rsidRDefault="00AD7F0A" w:rsidP="00AD7F0A">
            <w:pPr>
              <w:spacing w:line="240" w:lineRule="auto"/>
              <w:jc w:val="both"/>
              <w:rPr>
                <w:rFonts w:ascii="Garamond" w:hAnsi="Garamond" w:cstheme="minorHAnsi"/>
              </w:rPr>
            </w:pPr>
          </w:p>
        </w:tc>
        <w:tc>
          <w:tcPr>
            <w:tcW w:w="1215" w:type="dxa"/>
            <w:tcBorders>
              <w:top w:val="nil"/>
              <w:left w:val="nil"/>
              <w:bottom w:val="single" w:sz="4" w:space="0" w:color="auto"/>
              <w:right w:val="nil"/>
            </w:tcBorders>
            <w:hideMark/>
          </w:tcPr>
          <w:p w14:paraId="39AA9D04" w14:textId="6C7E227B" w:rsidR="00AD7F0A" w:rsidRPr="00AD7F0A" w:rsidRDefault="00AD7F0A" w:rsidP="00AD7F0A">
            <w:pPr>
              <w:spacing w:line="240" w:lineRule="auto"/>
              <w:jc w:val="both"/>
              <w:rPr>
                <w:rFonts w:ascii="Garamond" w:hAnsi="Garamond" w:cstheme="minorHAnsi"/>
              </w:rPr>
            </w:pPr>
            <w:r w:rsidRPr="00AD7F0A">
              <w:rPr>
                <w:rFonts w:ascii="Garamond" w:hAnsi="Garamond" w:cstheme="minorHAnsi"/>
              </w:rPr>
              <w:t>1</w:t>
            </w:r>
            <w:r w:rsidR="00097C89">
              <w:rPr>
                <w:rFonts w:ascii="Garamond" w:hAnsi="Garamond" w:cstheme="minorHAnsi"/>
              </w:rPr>
              <w:t>2</w:t>
            </w:r>
            <w:r w:rsidRPr="00AD7F0A">
              <w:rPr>
                <w:rFonts w:ascii="Garamond" w:hAnsi="Garamond" w:cstheme="minorHAnsi"/>
              </w:rPr>
              <w:t>50</w:t>
            </w:r>
          </w:p>
          <w:p w14:paraId="61566F7A" w14:textId="3AFF938F" w:rsidR="00AD7F0A" w:rsidRPr="00AD7F0A" w:rsidRDefault="00097C89" w:rsidP="00AD7F0A">
            <w:pPr>
              <w:spacing w:line="240" w:lineRule="auto"/>
              <w:jc w:val="both"/>
              <w:rPr>
                <w:rFonts w:ascii="Garamond" w:hAnsi="Garamond" w:cstheme="minorHAnsi"/>
              </w:rPr>
            </w:pPr>
            <w:r>
              <w:rPr>
                <w:rFonts w:ascii="Garamond" w:hAnsi="Garamond" w:cstheme="minorHAnsi"/>
              </w:rPr>
              <w:t>50</w:t>
            </w:r>
          </w:p>
        </w:tc>
        <w:tc>
          <w:tcPr>
            <w:tcW w:w="1215" w:type="dxa"/>
            <w:tcBorders>
              <w:top w:val="nil"/>
              <w:left w:val="nil"/>
              <w:bottom w:val="single" w:sz="4" w:space="0" w:color="auto"/>
              <w:right w:val="nil"/>
            </w:tcBorders>
          </w:tcPr>
          <w:p w14:paraId="4BFF9108" w14:textId="77777777" w:rsidR="00AD7F0A" w:rsidRPr="00AD7F0A" w:rsidRDefault="00AD7F0A" w:rsidP="00AD7F0A">
            <w:pPr>
              <w:spacing w:line="240" w:lineRule="auto"/>
              <w:jc w:val="both"/>
              <w:rPr>
                <w:rFonts w:ascii="Garamond" w:hAnsi="Garamond" w:cstheme="minorHAnsi"/>
              </w:rPr>
            </w:pPr>
          </w:p>
        </w:tc>
      </w:tr>
    </w:tbl>
    <w:p w14:paraId="0FCFAE65" w14:textId="77777777" w:rsidR="000439E9" w:rsidRPr="006A79B9" w:rsidRDefault="000439E9" w:rsidP="000439E9">
      <w:pPr>
        <w:spacing w:line="240" w:lineRule="auto"/>
        <w:jc w:val="both"/>
        <w:rPr>
          <w:rFonts w:ascii="Garamond" w:hAnsi="Garamond" w:cs="Courier New"/>
        </w:rPr>
      </w:pPr>
      <w:r w:rsidRPr="00AD7F0A">
        <w:rPr>
          <w:rFonts w:ascii="Garamond" w:hAnsi="Garamond" w:cstheme="minorHAnsi"/>
        </w:rPr>
        <w:t xml:space="preserve">Notes: </w:t>
      </w:r>
      <w:r w:rsidRPr="00AD7F0A">
        <w:rPr>
          <w:rFonts w:ascii="Garamond" w:hAnsi="Garamond" w:cs="Courier New"/>
        </w:rPr>
        <w:t>Poisson Pseudo-Maximu</w:t>
      </w:r>
      <w:r w:rsidRPr="006A79B9">
        <w:rPr>
          <w:rFonts w:ascii="Garamond" w:hAnsi="Garamond" w:cs="Courier New"/>
        </w:rPr>
        <w:t xml:space="preserve">m Likelihood model. </w:t>
      </w:r>
    </w:p>
    <w:p w14:paraId="2D6218D5" w14:textId="77777777" w:rsidR="000439E9" w:rsidRPr="006A79B9" w:rsidRDefault="000439E9" w:rsidP="000439E9">
      <w:pPr>
        <w:spacing w:line="240" w:lineRule="auto"/>
        <w:jc w:val="both"/>
        <w:rPr>
          <w:rFonts w:ascii="Garamond" w:hAnsi="Garamond" w:cstheme="minorHAnsi"/>
        </w:rPr>
      </w:pPr>
      <w:r w:rsidRPr="006A79B9">
        <w:rPr>
          <w:rFonts w:ascii="Garamond" w:hAnsi="Garamond" w:cs="Courier New"/>
        </w:rPr>
        <w:t>S</w:t>
      </w:r>
      <w:r w:rsidRPr="006A79B9">
        <w:rPr>
          <w:rFonts w:ascii="Garamond" w:hAnsi="Garamond" w:cstheme="minorHAnsi"/>
        </w:rPr>
        <w:t xml:space="preserve">tandard errors clustered by state. </w:t>
      </w:r>
    </w:p>
    <w:p w14:paraId="275F6970" w14:textId="77777777" w:rsidR="000439E9" w:rsidRPr="006A79B9" w:rsidRDefault="000439E9" w:rsidP="000439E9">
      <w:pPr>
        <w:spacing w:line="240" w:lineRule="auto"/>
        <w:jc w:val="both"/>
        <w:rPr>
          <w:rFonts w:ascii="Garamond" w:hAnsi="Garamond" w:cstheme="minorHAnsi"/>
        </w:rPr>
      </w:pP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0.05, </w:t>
      </w: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0.01, </w:t>
      </w: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0.001</w:t>
      </w:r>
    </w:p>
    <w:p w14:paraId="125CC129" w14:textId="77777777" w:rsidR="000439E9" w:rsidRDefault="000439E9" w:rsidP="00C35C20">
      <w:pPr>
        <w:spacing w:line="480" w:lineRule="auto"/>
        <w:jc w:val="both"/>
        <w:rPr>
          <w:rFonts w:ascii="Garamond" w:hAnsi="Garamond" w:cstheme="minorHAnsi"/>
        </w:rPr>
      </w:pPr>
    </w:p>
    <w:p w14:paraId="5B49DFAB" w14:textId="77777777" w:rsidR="00C35C20" w:rsidRPr="006A79B9" w:rsidRDefault="00C35C20" w:rsidP="00DD0EB0">
      <w:pPr>
        <w:spacing w:line="480" w:lineRule="auto"/>
        <w:jc w:val="both"/>
        <w:rPr>
          <w:rFonts w:ascii="Garamond" w:hAnsi="Garamond" w:cstheme="minorHAnsi"/>
        </w:rPr>
      </w:pPr>
    </w:p>
    <w:p w14:paraId="4F096E7A" w14:textId="75BC9B37" w:rsidR="00171CA6" w:rsidRDefault="00C35C20" w:rsidP="00A34C48">
      <w:pPr>
        <w:spacing w:line="480" w:lineRule="auto"/>
        <w:jc w:val="both"/>
        <w:rPr>
          <w:rFonts w:ascii="Garamond" w:hAnsi="Garamond"/>
        </w:rPr>
      </w:pPr>
      <w:r>
        <w:rPr>
          <w:rFonts w:ascii="Garamond" w:eastAsiaTheme="minorEastAsia" w:hAnsi="Garamond" w:cstheme="minorHAnsi"/>
        </w:rPr>
        <w:tab/>
        <w:t xml:space="preserve">To conclude the analysis, we consider the </w:t>
      </w:r>
      <w:r w:rsidR="00E9029C">
        <w:rPr>
          <w:rFonts w:ascii="Garamond" w:eastAsiaTheme="minorEastAsia" w:hAnsi="Garamond" w:cstheme="minorHAnsi"/>
        </w:rPr>
        <w:t>longer</w:t>
      </w:r>
      <w:r>
        <w:rPr>
          <w:rFonts w:ascii="Garamond" w:eastAsiaTheme="minorEastAsia" w:hAnsi="Garamond" w:cstheme="minorHAnsi"/>
        </w:rPr>
        <w:t xml:space="preserve"> timeframe of the Biden Administration’s policy and regulatory efforts to close the gun</w:t>
      </w:r>
      <w:r w:rsidR="006C01A5">
        <w:rPr>
          <w:rFonts w:ascii="Garamond" w:eastAsiaTheme="minorEastAsia" w:hAnsi="Garamond" w:cstheme="minorHAnsi"/>
        </w:rPr>
        <w:t xml:space="preserve"> </w:t>
      </w:r>
      <w:r>
        <w:rPr>
          <w:rFonts w:ascii="Garamond" w:eastAsiaTheme="minorEastAsia" w:hAnsi="Garamond" w:cstheme="minorHAnsi"/>
        </w:rPr>
        <w:t xml:space="preserve">show loophole. </w:t>
      </w:r>
      <w:r w:rsidR="00A34C48">
        <w:rPr>
          <w:rFonts w:ascii="Garamond" w:hAnsi="Garamond"/>
        </w:rPr>
        <w:t xml:space="preserve">Given that action to close the loophole was initiated with the passage of the Bipartisan Safer Communities Act on June 25, 2022, in </w:t>
      </w:r>
      <w:r>
        <w:rPr>
          <w:rFonts w:ascii="Garamond" w:hAnsi="Garamond"/>
        </w:rPr>
        <w:t xml:space="preserve">figures </w:t>
      </w:r>
      <w:r w:rsidR="00A52486">
        <w:rPr>
          <w:rFonts w:ascii="Garamond" w:hAnsi="Garamond"/>
        </w:rPr>
        <w:t>8</w:t>
      </w:r>
      <w:r>
        <w:rPr>
          <w:rFonts w:ascii="Garamond" w:hAnsi="Garamond"/>
        </w:rPr>
        <w:t xml:space="preserve"> and </w:t>
      </w:r>
      <w:r w:rsidR="00A52486">
        <w:rPr>
          <w:rFonts w:ascii="Garamond" w:hAnsi="Garamond"/>
        </w:rPr>
        <w:t>9</w:t>
      </w:r>
      <w:r w:rsidR="00A34C48">
        <w:rPr>
          <w:rFonts w:ascii="Garamond" w:hAnsi="Garamond"/>
        </w:rPr>
        <w:t xml:space="preserve">, we extend the </w:t>
      </w:r>
      <w:proofErr w:type="gramStart"/>
      <w:r w:rsidR="00A34C48">
        <w:rPr>
          <w:rFonts w:ascii="Garamond" w:hAnsi="Garamond"/>
        </w:rPr>
        <w:t>time period</w:t>
      </w:r>
      <w:proofErr w:type="gramEnd"/>
      <w:r w:rsidR="00A34C48">
        <w:rPr>
          <w:rFonts w:ascii="Garamond" w:hAnsi="Garamond"/>
        </w:rPr>
        <w:t xml:space="preserve"> </w:t>
      </w:r>
      <w:r w:rsidR="00C110BE">
        <w:rPr>
          <w:rFonts w:ascii="Garamond" w:hAnsi="Garamond"/>
        </w:rPr>
        <w:t xml:space="preserve">of our analyses </w:t>
      </w:r>
      <w:r w:rsidR="00A34C48">
        <w:rPr>
          <w:rFonts w:ascii="Garamond" w:hAnsi="Garamond"/>
        </w:rPr>
        <w:t>to include twelve months prior to the passage of the Act (i.e., June 2021 to May 2025</w:t>
      </w:r>
      <w:r>
        <w:rPr>
          <w:rFonts w:ascii="Garamond" w:hAnsi="Garamond"/>
        </w:rPr>
        <w:t>, 35 months prior to rule change and 12 months after</w:t>
      </w:r>
      <w:r w:rsidR="00A34C48">
        <w:rPr>
          <w:rFonts w:ascii="Garamond" w:hAnsi="Garamond"/>
        </w:rPr>
        <w:t>)</w:t>
      </w:r>
      <w:r w:rsidR="00C110BE">
        <w:rPr>
          <w:rFonts w:ascii="Garamond" w:hAnsi="Garamond"/>
        </w:rPr>
        <w:t xml:space="preserve">. Results </w:t>
      </w:r>
      <w:r>
        <w:rPr>
          <w:rFonts w:ascii="Garamond" w:hAnsi="Garamond"/>
        </w:rPr>
        <w:t xml:space="preserve">of an extended FFL analysis presented in Figure </w:t>
      </w:r>
      <w:r w:rsidR="00A52486">
        <w:rPr>
          <w:rFonts w:ascii="Garamond" w:hAnsi="Garamond"/>
        </w:rPr>
        <w:t>8</w:t>
      </w:r>
      <w:r>
        <w:rPr>
          <w:rFonts w:ascii="Garamond" w:hAnsi="Garamond"/>
        </w:rPr>
        <w:t xml:space="preserve"> are consistent with our previous FFL results presented in Figure </w:t>
      </w:r>
      <w:r w:rsidR="00A52486">
        <w:rPr>
          <w:rFonts w:ascii="Garamond" w:hAnsi="Garamond"/>
        </w:rPr>
        <w:t>4</w:t>
      </w:r>
      <w:r>
        <w:rPr>
          <w:rFonts w:ascii="Garamond" w:hAnsi="Garamond"/>
        </w:rPr>
        <w:t xml:space="preserve">. </w:t>
      </w:r>
    </w:p>
    <w:p w14:paraId="4578E8E1" w14:textId="79955237" w:rsidR="006A699D" w:rsidRDefault="00C35C20" w:rsidP="00171CA6">
      <w:pPr>
        <w:spacing w:line="480" w:lineRule="auto"/>
        <w:ind w:firstLine="720"/>
        <w:jc w:val="both"/>
        <w:rPr>
          <w:rFonts w:ascii="Garamond" w:hAnsi="Garamond"/>
        </w:rPr>
      </w:pPr>
      <w:r>
        <w:rPr>
          <w:rFonts w:ascii="Garamond" w:hAnsi="Garamond"/>
        </w:rPr>
        <w:t xml:space="preserve">As for background checks (Figure </w:t>
      </w:r>
      <w:r w:rsidR="00A52486">
        <w:rPr>
          <w:rFonts w:ascii="Garamond" w:hAnsi="Garamond"/>
        </w:rPr>
        <w:t>9</w:t>
      </w:r>
      <w:r>
        <w:rPr>
          <w:rFonts w:ascii="Garamond" w:hAnsi="Garamond"/>
        </w:rPr>
        <w:t xml:space="preserve">), extending the timeframe of the event study back to June 2021 reveals a bifurcated picture. In the first half of the observation period, through </w:t>
      </w:r>
      <w:proofErr w:type="gramStart"/>
      <w:r>
        <w:rPr>
          <w:rFonts w:ascii="Garamond" w:hAnsi="Garamond"/>
        </w:rPr>
        <w:t>time period</w:t>
      </w:r>
      <w:proofErr w:type="gramEnd"/>
      <w:r>
        <w:rPr>
          <w:rFonts w:ascii="Garamond" w:hAnsi="Garamond"/>
        </w:rPr>
        <w:t xml:space="preserve"> -12 </w:t>
      </w:r>
      <w:r>
        <w:rPr>
          <w:rFonts w:ascii="Garamond" w:hAnsi="Garamond"/>
        </w:rPr>
        <w:lastRenderedPageBreak/>
        <w:t>(June 2023)</w:t>
      </w:r>
      <w:r w:rsidR="00E34357">
        <w:rPr>
          <w:rFonts w:ascii="Garamond" w:hAnsi="Garamond"/>
        </w:rPr>
        <w:t xml:space="preserve">, coefficient estimates of the difference between treated and control states are typically negative and non-significant. Then the pattern reverses, to mostly positive coefficients. However, </w:t>
      </w:r>
      <w:r w:rsidR="006A699D">
        <w:rPr>
          <w:rFonts w:ascii="Garamond" w:hAnsi="Garamond"/>
        </w:rPr>
        <w:t>a</w:t>
      </w:r>
      <w:r w:rsidR="00DD0EB0">
        <w:rPr>
          <w:rFonts w:ascii="Garamond" w:hAnsi="Garamond"/>
        </w:rPr>
        <w:t xml:space="preserve"> clear</w:t>
      </w:r>
      <w:r w:rsidR="006A699D">
        <w:rPr>
          <w:rFonts w:ascii="Garamond" w:hAnsi="Garamond"/>
        </w:rPr>
        <w:t xml:space="preserve"> explanation for the shift is elusive. The Bipartisan Safer Communities Act passed in June 2022 and the proposed rule change was announced and opened for public comment in late August 2023. It remains unclear why there might have been a</w:t>
      </w:r>
      <w:r w:rsidR="00E9029C">
        <w:rPr>
          <w:rFonts w:ascii="Garamond" w:hAnsi="Garamond"/>
        </w:rPr>
        <w:t>n</w:t>
      </w:r>
      <w:r w:rsidR="006A699D">
        <w:rPr>
          <w:rFonts w:ascii="Garamond" w:hAnsi="Garamond"/>
        </w:rPr>
        <w:t xml:space="preserve"> upward shift in background checks in the treated states</w:t>
      </w:r>
      <w:r w:rsidR="00E9029C">
        <w:rPr>
          <w:rFonts w:ascii="Garamond" w:hAnsi="Garamond"/>
        </w:rPr>
        <w:t xml:space="preserve"> (relative to control)</w:t>
      </w:r>
      <w:r w:rsidR="006A699D">
        <w:rPr>
          <w:rFonts w:ascii="Garamond" w:hAnsi="Garamond"/>
        </w:rPr>
        <w:t xml:space="preserve"> starting in June 2023. </w:t>
      </w:r>
      <w:r w:rsidR="00171CA6">
        <w:rPr>
          <w:rFonts w:ascii="Garamond" w:hAnsi="Garamond"/>
        </w:rPr>
        <w:t xml:space="preserve">Given that the apparent increase in background checks does not coincide with the major actions associated with the closing </w:t>
      </w:r>
      <w:r w:rsidR="007745E4">
        <w:rPr>
          <w:rFonts w:ascii="Garamond" w:hAnsi="Garamond"/>
        </w:rPr>
        <w:t xml:space="preserve">of </w:t>
      </w:r>
      <w:r w:rsidR="00171CA6">
        <w:rPr>
          <w:rFonts w:ascii="Garamond" w:hAnsi="Garamond"/>
        </w:rPr>
        <w:t>the gun</w:t>
      </w:r>
      <w:r w:rsidR="006C01A5">
        <w:rPr>
          <w:rFonts w:ascii="Garamond" w:hAnsi="Garamond"/>
        </w:rPr>
        <w:t xml:space="preserve"> </w:t>
      </w:r>
      <w:r w:rsidR="00171CA6">
        <w:rPr>
          <w:rFonts w:ascii="Garamond" w:hAnsi="Garamond"/>
        </w:rPr>
        <w:t xml:space="preserve">show loophole, </w:t>
      </w:r>
      <w:r w:rsidR="00DD0EB0">
        <w:rPr>
          <w:rFonts w:ascii="Garamond" w:hAnsi="Garamond"/>
        </w:rPr>
        <w:t xml:space="preserve">it may be </w:t>
      </w:r>
      <w:r w:rsidR="007745E4">
        <w:rPr>
          <w:rFonts w:ascii="Garamond" w:hAnsi="Garamond"/>
        </w:rPr>
        <w:t>premature to conclude that the rule change led to an increase in background checks.</w:t>
      </w:r>
      <w:r w:rsidR="00171CA6">
        <w:rPr>
          <w:rFonts w:ascii="Garamond" w:hAnsi="Garamond"/>
        </w:rPr>
        <w:t xml:space="preserve"> </w:t>
      </w:r>
      <w:r w:rsidR="00E9029C">
        <w:rPr>
          <w:rFonts w:ascii="Garamond" w:hAnsi="Garamond"/>
        </w:rPr>
        <w:t xml:space="preserve">Figure </w:t>
      </w:r>
      <w:r w:rsidR="00A52486">
        <w:rPr>
          <w:rFonts w:ascii="Garamond" w:hAnsi="Garamond"/>
        </w:rPr>
        <w:t>9</w:t>
      </w:r>
      <w:r w:rsidR="00E9029C">
        <w:rPr>
          <w:rFonts w:ascii="Garamond" w:hAnsi="Garamond"/>
        </w:rPr>
        <w:t xml:space="preserve"> also reveals</w:t>
      </w:r>
      <w:r w:rsidR="00445420">
        <w:rPr>
          <w:rFonts w:ascii="Garamond" w:hAnsi="Garamond"/>
        </w:rPr>
        <w:t xml:space="preserve"> </w:t>
      </w:r>
      <w:r w:rsidR="00E9029C">
        <w:rPr>
          <w:rFonts w:ascii="Garamond" w:hAnsi="Garamond"/>
        </w:rPr>
        <w:t xml:space="preserve">that the cyclical increase in background checks during the December holiday buying season that we observed in </w:t>
      </w:r>
      <w:r w:rsidR="002E44EA">
        <w:rPr>
          <w:rFonts w:ascii="Garamond" w:hAnsi="Garamond"/>
        </w:rPr>
        <w:t>f</w:t>
      </w:r>
      <w:r w:rsidR="00E9029C">
        <w:rPr>
          <w:rFonts w:ascii="Garamond" w:hAnsi="Garamond"/>
        </w:rPr>
        <w:t>igure</w:t>
      </w:r>
      <w:r w:rsidR="002E44EA">
        <w:rPr>
          <w:rFonts w:ascii="Garamond" w:hAnsi="Garamond"/>
        </w:rPr>
        <w:t>s 3 and</w:t>
      </w:r>
      <w:r w:rsidR="00E9029C">
        <w:rPr>
          <w:rFonts w:ascii="Garamond" w:hAnsi="Garamond"/>
        </w:rPr>
        <w:t xml:space="preserve"> </w:t>
      </w:r>
      <w:r w:rsidR="00A52486">
        <w:rPr>
          <w:rFonts w:ascii="Garamond" w:hAnsi="Garamond"/>
        </w:rPr>
        <w:t>5</w:t>
      </w:r>
      <w:r w:rsidR="00E9029C">
        <w:rPr>
          <w:rFonts w:ascii="Garamond" w:hAnsi="Garamond"/>
        </w:rPr>
        <w:t xml:space="preserve"> hold</w:t>
      </w:r>
      <w:r w:rsidR="002E44EA">
        <w:rPr>
          <w:rFonts w:ascii="Garamond" w:hAnsi="Garamond"/>
        </w:rPr>
        <w:t>s</w:t>
      </w:r>
      <w:r w:rsidR="00E9029C">
        <w:rPr>
          <w:rFonts w:ascii="Garamond" w:hAnsi="Garamond"/>
        </w:rPr>
        <w:t xml:space="preserve"> when we extend the lens of observation back to 2021. This suggests that the post rule change increases in background checks that we observed are, to some extent, due to </w:t>
      </w:r>
      <w:r w:rsidR="00545F61">
        <w:rPr>
          <w:rFonts w:ascii="Garamond" w:hAnsi="Garamond"/>
        </w:rPr>
        <w:t xml:space="preserve">pre-existing </w:t>
      </w:r>
      <w:r w:rsidR="00E9029C">
        <w:rPr>
          <w:rFonts w:ascii="Garamond" w:hAnsi="Garamond"/>
        </w:rPr>
        <w:t>cyclical patterns</w:t>
      </w:r>
      <w:r w:rsidR="00545F61">
        <w:rPr>
          <w:rFonts w:ascii="Garamond" w:hAnsi="Garamond"/>
        </w:rPr>
        <w:t>.</w:t>
      </w:r>
      <w:r w:rsidR="00E9029C">
        <w:rPr>
          <w:rFonts w:ascii="Garamond" w:hAnsi="Garamond"/>
        </w:rPr>
        <w:t xml:space="preserve"> </w:t>
      </w:r>
    </w:p>
    <w:p w14:paraId="043D1757" w14:textId="41A0856E" w:rsidR="00C35C20" w:rsidRDefault="00655A65" w:rsidP="006A699D">
      <w:pPr>
        <w:spacing w:line="480" w:lineRule="auto"/>
        <w:jc w:val="both"/>
        <w:rPr>
          <w:rFonts w:ascii="Garamond" w:hAnsi="Garamond"/>
        </w:rPr>
      </w:pPr>
      <w:r>
        <w:rPr>
          <w:rFonts w:ascii="Garamond" w:hAnsi="Garamond"/>
        </w:rPr>
        <w:t xml:space="preserve"> </w:t>
      </w:r>
    </w:p>
    <w:p w14:paraId="231A7B38" w14:textId="0D023EF2" w:rsidR="00C35C20" w:rsidRPr="00BC4CB4" w:rsidRDefault="00C35C20" w:rsidP="00C35C20">
      <w:pPr>
        <w:keepNext/>
        <w:spacing w:line="480" w:lineRule="auto"/>
        <w:jc w:val="both"/>
        <w:rPr>
          <w:rFonts w:ascii="Garamond" w:hAnsi="Garamond" w:cs="Courier New"/>
          <w:b/>
          <w:bCs/>
        </w:rPr>
      </w:pPr>
      <w:r w:rsidRPr="006A79B9">
        <w:rPr>
          <w:rFonts w:ascii="Garamond" w:hAnsi="Garamond" w:cs="Courier New"/>
          <w:b/>
          <w:bCs/>
        </w:rPr>
        <w:t xml:space="preserve">Figure </w:t>
      </w:r>
      <w:r w:rsidR="00A52486">
        <w:rPr>
          <w:rFonts w:ascii="Garamond" w:hAnsi="Garamond" w:cs="Courier New"/>
          <w:b/>
          <w:bCs/>
        </w:rPr>
        <w:t>8</w:t>
      </w:r>
      <w:r w:rsidRPr="006A79B9">
        <w:rPr>
          <w:rFonts w:ascii="Garamond" w:hAnsi="Garamond" w:cs="Courier New"/>
          <w:b/>
          <w:bCs/>
        </w:rPr>
        <w:t xml:space="preserve">. </w:t>
      </w:r>
      <w:r w:rsidRPr="004D04A3">
        <w:rPr>
          <w:rFonts w:ascii="Garamond" w:hAnsi="Garamond" w:cs="Courier New"/>
          <w:b/>
          <w:bCs/>
        </w:rPr>
        <w:t>Event Study Estimates</w:t>
      </w:r>
      <w:r w:rsidRPr="006A79B9">
        <w:rPr>
          <w:rFonts w:ascii="Garamond" w:hAnsi="Garamond" w:cs="Courier New"/>
          <w:b/>
          <w:bCs/>
        </w:rPr>
        <w:t xml:space="preserve">: </w:t>
      </w:r>
      <w:r>
        <w:rPr>
          <w:rFonts w:ascii="Garamond" w:hAnsi="Garamond" w:cs="Courier New"/>
          <w:b/>
          <w:bCs/>
        </w:rPr>
        <w:t xml:space="preserve">New </w:t>
      </w:r>
      <w:r w:rsidRPr="006A79B9">
        <w:rPr>
          <w:rFonts w:ascii="Garamond" w:hAnsi="Garamond" w:cs="Courier New"/>
          <w:b/>
          <w:bCs/>
        </w:rPr>
        <w:t>FFLs</w:t>
      </w:r>
      <w:r>
        <w:rPr>
          <w:rFonts w:ascii="Garamond" w:hAnsi="Garamond" w:cs="Courier New"/>
          <w:b/>
          <w:bCs/>
        </w:rPr>
        <w:t>, June 2021 – May 2025</w:t>
      </w:r>
    </w:p>
    <w:p w14:paraId="49F5DD86" w14:textId="02CBF8A7" w:rsidR="00C35C20" w:rsidRDefault="00E66278" w:rsidP="00C35C20">
      <w:pPr>
        <w:spacing w:line="240" w:lineRule="auto"/>
        <w:jc w:val="both"/>
        <w:rPr>
          <w:rFonts w:ascii="Garamond" w:hAnsi="Garamond" w:cstheme="minorHAnsi"/>
        </w:rPr>
      </w:pPr>
      <w:r>
        <w:rPr>
          <w:rFonts w:ascii="Garamond" w:hAnsi="Garamond" w:cstheme="minorHAnsi"/>
          <w:noProof/>
          <w14:ligatures w14:val="standardContextual"/>
        </w:rPr>
        <w:drawing>
          <wp:inline distT="0" distB="0" distL="0" distR="0" wp14:anchorId="5C39E243" wp14:editId="0940D6C4">
            <wp:extent cx="5056632" cy="3035808"/>
            <wp:effectExtent l="0" t="0" r="0" b="0"/>
            <wp:docPr id="952436865" name="Picture 5" descr="A graph showing the time peri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36865" name="Picture 5" descr="A graph showing the time period&#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056632" cy="3035808"/>
                    </a:xfrm>
                    <a:prstGeom prst="rect">
                      <a:avLst/>
                    </a:prstGeom>
                  </pic:spPr>
                </pic:pic>
              </a:graphicData>
            </a:graphic>
          </wp:inline>
        </w:drawing>
      </w:r>
    </w:p>
    <w:p w14:paraId="69B71B23" w14:textId="12C65539" w:rsidR="00C35C20" w:rsidRPr="00BC4CB4" w:rsidRDefault="00C35C20" w:rsidP="00C35C20">
      <w:pPr>
        <w:keepNext/>
        <w:spacing w:line="480" w:lineRule="auto"/>
        <w:jc w:val="both"/>
        <w:rPr>
          <w:rFonts w:ascii="Garamond" w:hAnsi="Garamond" w:cs="Courier New"/>
          <w:b/>
          <w:bCs/>
        </w:rPr>
      </w:pPr>
      <w:r w:rsidRPr="006A79B9">
        <w:rPr>
          <w:rFonts w:ascii="Garamond" w:hAnsi="Garamond" w:cs="Courier New"/>
          <w:b/>
          <w:bCs/>
        </w:rPr>
        <w:lastRenderedPageBreak/>
        <w:t xml:space="preserve">Figure </w:t>
      </w:r>
      <w:r w:rsidR="00A52486">
        <w:rPr>
          <w:rFonts w:ascii="Garamond" w:hAnsi="Garamond" w:cs="Courier New"/>
          <w:b/>
          <w:bCs/>
        </w:rPr>
        <w:t>9</w:t>
      </w:r>
      <w:r w:rsidRPr="006A79B9">
        <w:rPr>
          <w:rFonts w:ascii="Garamond" w:hAnsi="Garamond" w:cs="Courier New"/>
          <w:b/>
          <w:bCs/>
        </w:rPr>
        <w:t xml:space="preserve">. </w:t>
      </w:r>
      <w:r w:rsidRPr="004D04A3">
        <w:rPr>
          <w:rFonts w:ascii="Garamond" w:hAnsi="Garamond" w:cs="Courier New"/>
          <w:b/>
          <w:bCs/>
        </w:rPr>
        <w:t>Event Study Estimates</w:t>
      </w:r>
      <w:r w:rsidRPr="006A79B9">
        <w:rPr>
          <w:rFonts w:ascii="Garamond" w:hAnsi="Garamond" w:cs="Courier New"/>
          <w:b/>
          <w:bCs/>
        </w:rPr>
        <w:t>: Background Checks</w:t>
      </w:r>
      <w:r>
        <w:rPr>
          <w:rFonts w:ascii="Garamond" w:hAnsi="Garamond" w:cs="Courier New"/>
          <w:b/>
          <w:bCs/>
        </w:rPr>
        <w:t>, June 2021 – May 2025</w:t>
      </w:r>
    </w:p>
    <w:p w14:paraId="309906F3" w14:textId="2C6D4848" w:rsidR="00C35C20" w:rsidRPr="009E28FF" w:rsidRDefault="00E66278" w:rsidP="00C35C20">
      <w:pPr>
        <w:spacing w:line="240" w:lineRule="auto"/>
        <w:jc w:val="both"/>
        <w:rPr>
          <w:rFonts w:ascii="Garamond" w:hAnsi="Garamond" w:cstheme="minorHAnsi"/>
        </w:rPr>
      </w:pPr>
      <w:r>
        <w:rPr>
          <w:rFonts w:ascii="Garamond" w:hAnsi="Garamond" w:cstheme="minorHAnsi"/>
          <w:noProof/>
          <w14:ligatures w14:val="standardContextual"/>
        </w:rPr>
        <w:drawing>
          <wp:inline distT="0" distB="0" distL="0" distR="0" wp14:anchorId="79C16E3A" wp14:editId="1EC895F7">
            <wp:extent cx="5120640" cy="3072384"/>
            <wp:effectExtent l="0" t="0" r="3810" b="0"/>
            <wp:docPr id="2083206717" name="Picture 6" descr="A graph showing the time peri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06717" name="Picture 6" descr="A graph showing the time period&#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120640" cy="3072384"/>
                    </a:xfrm>
                    <a:prstGeom prst="rect">
                      <a:avLst/>
                    </a:prstGeom>
                  </pic:spPr>
                </pic:pic>
              </a:graphicData>
            </a:graphic>
          </wp:inline>
        </w:drawing>
      </w:r>
    </w:p>
    <w:p w14:paraId="248F2121" w14:textId="77777777" w:rsidR="008D7D5D" w:rsidRDefault="008D7D5D" w:rsidP="00DD0EB0">
      <w:pPr>
        <w:spacing w:line="480" w:lineRule="auto"/>
        <w:jc w:val="both"/>
        <w:rPr>
          <w:rFonts w:ascii="Garamond" w:eastAsiaTheme="minorEastAsia" w:hAnsi="Garamond" w:cstheme="minorHAnsi"/>
        </w:rPr>
      </w:pPr>
    </w:p>
    <w:p w14:paraId="17BD535F" w14:textId="7E89AAD7" w:rsidR="00A1627B" w:rsidRPr="00C57BB8" w:rsidRDefault="00C57BB8" w:rsidP="00DD0EB0">
      <w:pPr>
        <w:spacing w:line="480" w:lineRule="auto"/>
        <w:jc w:val="both"/>
        <w:rPr>
          <w:rFonts w:ascii="Garamond" w:hAnsi="Garamond" w:cstheme="minorHAnsi"/>
          <w:b/>
          <w:smallCaps/>
        </w:rPr>
      </w:pPr>
      <w:r w:rsidRPr="00C57BB8">
        <w:rPr>
          <w:rFonts w:ascii="Garamond" w:hAnsi="Garamond" w:cstheme="minorHAnsi"/>
          <w:b/>
          <w:smallCaps/>
        </w:rPr>
        <w:t>Discussion</w:t>
      </w:r>
    </w:p>
    <w:p w14:paraId="0260964D" w14:textId="6F53B109" w:rsidR="00E727FB" w:rsidRDefault="00087FF1" w:rsidP="00206DA9">
      <w:pPr>
        <w:spacing w:line="480" w:lineRule="auto"/>
        <w:jc w:val="both"/>
        <w:rPr>
          <w:rFonts w:ascii="Garamond" w:hAnsi="Garamond" w:cstheme="minorHAnsi"/>
        </w:rPr>
      </w:pPr>
      <w:r>
        <w:rPr>
          <w:rFonts w:ascii="Garamond" w:hAnsi="Garamond" w:cstheme="minorHAnsi"/>
        </w:rPr>
        <w:t xml:space="preserve">Results presented in this study fail to reveal evidence of an increase in new FFLs following the loophole rule change. </w:t>
      </w:r>
      <w:r w:rsidR="00E727FB">
        <w:rPr>
          <w:rFonts w:ascii="Garamond" w:hAnsi="Garamond" w:cstheme="minorHAnsi"/>
        </w:rPr>
        <w:t>F</w:t>
      </w:r>
      <w:r>
        <w:rPr>
          <w:rFonts w:ascii="Garamond" w:hAnsi="Garamond" w:cstheme="minorHAnsi"/>
        </w:rPr>
        <w:t>or background checks, we find suggestive evidence of a delayed and short-term increase following the rule change</w:t>
      </w:r>
      <w:r w:rsidR="00E727FB">
        <w:rPr>
          <w:rFonts w:ascii="Garamond" w:hAnsi="Garamond" w:cstheme="minorHAnsi"/>
        </w:rPr>
        <w:t xml:space="preserve">. </w:t>
      </w:r>
      <w:r w:rsidR="00E727FB" w:rsidRPr="00E727FB">
        <w:rPr>
          <w:rFonts w:ascii="Garamond" w:hAnsi="Garamond" w:cstheme="minorHAnsi"/>
        </w:rPr>
        <w:t xml:space="preserve">However, </w:t>
      </w:r>
      <w:r w:rsidR="00E727FB">
        <w:rPr>
          <w:rFonts w:ascii="Garamond" w:hAnsi="Garamond" w:cstheme="minorHAnsi"/>
        </w:rPr>
        <w:t xml:space="preserve">we caution against interpreting </w:t>
      </w:r>
      <w:r w:rsidR="00E727FB" w:rsidRPr="00E727FB">
        <w:rPr>
          <w:rFonts w:ascii="Garamond" w:hAnsi="Garamond" w:cstheme="minorHAnsi"/>
        </w:rPr>
        <w:t xml:space="preserve">this finding </w:t>
      </w:r>
      <w:r w:rsidR="00E727FB">
        <w:rPr>
          <w:rFonts w:ascii="Garamond" w:hAnsi="Garamond" w:cstheme="minorHAnsi"/>
        </w:rPr>
        <w:t>as causal</w:t>
      </w:r>
      <w:r w:rsidR="00E727FB" w:rsidRPr="00E727FB">
        <w:rPr>
          <w:rFonts w:ascii="Garamond" w:hAnsi="Garamond" w:cstheme="minorHAnsi"/>
        </w:rPr>
        <w:t xml:space="preserve">, as the analysis reveals violations of the parallel trends assumption—particularly due to recurring seasonal spikes in November and December that </w:t>
      </w:r>
      <w:r w:rsidR="00E727FB">
        <w:rPr>
          <w:rFonts w:ascii="Garamond" w:hAnsi="Garamond" w:cstheme="minorHAnsi"/>
        </w:rPr>
        <w:t xml:space="preserve">are of </w:t>
      </w:r>
      <w:r w:rsidR="00E727FB" w:rsidRPr="00E727FB">
        <w:rPr>
          <w:rFonts w:ascii="Garamond" w:hAnsi="Garamond" w:cstheme="minorHAnsi"/>
        </w:rPr>
        <w:t>differ</w:t>
      </w:r>
      <w:r w:rsidR="00E727FB">
        <w:rPr>
          <w:rFonts w:ascii="Garamond" w:hAnsi="Garamond" w:cstheme="minorHAnsi"/>
        </w:rPr>
        <w:t>ing magnitudes</w:t>
      </w:r>
      <w:r w:rsidR="00E727FB" w:rsidRPr="00E727FB">
        <w:rPr>
          <w:rFonts w:ascii="Garamond" w:hAnsi="Garamond" w:cstheme="minorHAnsi"/>
        </w:rPr>
        <w:t xml:space="preserve"> between treated and control states.</w:t>
      </w:r>
      <w:r w:rsidR="00E727FB">
        <w:rPr>
          <w:rFonts w:ascii="Garamond" w:hAnsi="Garamond" w:cstheme="minorHAnsi"/>
        </w:rPr>
        <w:t xml:space="preserve"> </w:t>
      </w:r>
      <w:r w:rsidR="00E727FB" w:rsidRPr="00E727FB">
        <w:rPr>
          <w:rFonts w:ascii="Garamond" w:hAnsi="Garamond" w:cstheme="minorHAnsi"/>
        </w:rPr>
        <w:t>These differential seasonal patterns suggest that the observed effects may reflect heterogeneity in holiday-related firearm purchasing rather than a true impact of the loophole rule change.</w:t>
      </w:r>
    </w:p>
    <w:p w14:paraId="5DBC61BA" w14:textId="71F95721" w:rsidR="0019242D" w:rsidRDefault="00620904" w:rsidP="00BB6598">
      <w:pPr>
        <w:spacing w:line="480" w:lineRule="auto"/>
        <w:ind w:firstLine="720"/>
        <w:jc w:val="both"/>
        <w:rPr>
          <w:rFonts w:ascii="Garamond" w:hAnsi="Garamond"/>
        </w:rPr>
      </w:pPr>
      <w:r>
        <w:rPr>
          <w:rFonts w:ascii="Garamond" w:hAnsi="Garamond" w:cstheme="minorHAnsi"/>
        </w:rPr>
        <w:t>In this section, we consider why the rule change appears to have had negligible effect</w:t>
      </w:r>
      <w:r w:rsidR="006E4C70">
        <w:rPr>
          <w:rFonts w:ascii="Garamond" w:hAnsi="Garamond" w:cstheme="minorHAnsi"/>
        </w:rPr>
        <w:t>s</w:t>
      </w:r>
      <w:r>
        <w:rPr>
          <w:rFonts w:ascii="Garamond" w:hAnsi="Garamond" w:cstheme="minorHAnsi"/>
        </w:rPr>
        <w:t xml:space="preserve"> on FFLs and background checks.</w:t>
      </w:r>
      <w:r w:rsidR="00BB6598">
        <w:rPr>
          <w:rFonts w:ascii="Garamond" w:hAnsi="Garamond" w:cstheme="minorHAnsi"/>
        </w:rPr>
        <w:t xml:space="preserve"> </w:t>
      </w:r>
      <w:r w:rsidR="0019242D">
        <w:rPr>
          <w:rFonts w:ascii="Garamond" w:hAnsi="Garamond" w:cstheme="minorHAnsi"/>
        </w:rPr>
        <w:t>We consider t</w:t>
      </w:r>
      <w:r w:rsidR="000D2CBD">
        <w:rPr>
          <w:rFonts w:ascii="Garamond" w:hAnsi="Garamond" w:cstheme="minorHAnsi"/>
        </w:rPr>
        <w:t>hree</w:t>
      </w:r>
      <w:r w:rsidR="0019242D">
        <w:rPr>
          <w:rFonts w:ascii="Garamond" w:hAnsi="Garamond" w:cstheme="minorHAnsi"/>
        </w:rPr>
        <w:t xml:space="preserve"> plausible </w:t>
      </w:r>
      <w:r w:rsidR="000D2CBD">
        <w:rPr>
          <w:rFonts w:ascii="Garamond" w:hAnsi="Garamond" w:cstheme="minorHAnsi"/>
        </w:rPr>
        <w:t xml:space="preserve">and overlapping </w:t>
      </w:r>
      <w:r w:rsidR="0019242D">
        <w:rPr>
          <w:rFonts w:ascii="Garamond" w:hAnsi="Garamond" w:cstheme="minorHAnsi"/>
        </w:rPr>
        <w:t xml:space="preserve">reasons for the muted effect of the rule change: (1) the </w:t>
      </w:r>
      <w:r w:rsidR="000D2CBD">
        <w:rPr>
          <w:rFonts w:ascii="Garamond" w:hAnsi="Garamond" w:cstheme="minorHAnsi"/>
        </w:rPr>
        <w:t xml:space="preserve">nature of the </w:t>
      </w:r>
      <w:r w:rsidR="0019242D">
        <w:rPr>
          <w:rFonts w:ascii="Garamond" w:hAnsi="Garamond" w:cstheme="minorHAnsi"/>
        </w:rPr>
        <w:t>rule change</w:t>
      </w:r>
      <w:r w:rsidR="000D2CBD">
        <w:rPr>
          <w:rFonts w:ascii="Garamond" w:hAnsi="Garamond" w:cstheme="minorHAnsi"/>
        </w:rPr>
        <w:t xml:space="preserve"> was ambiguous, leading some people to believe that nothing had really change</w:t>
      </w:r>
      <w:r w:rsidR="00C126FE">
        <w:rPr>
          <w:rFonts w:ascii="Garamond" w:hAnsi="Garamond" w:cstheme="minorHAnsi"/>
        </w:rPr>
        <w:t>d</w:t>
      </w:r>
      <w:r w:rsidR="000D2CBD">
        <w:rPr>
          <w:rFonts w:ascii="Garamond" w:hAnsi="Garamond" w:cstheme="minorHAnsi"/>
        </w:rPr>
        <w:t>;</w:t>
      </w:r>
      <w:r w:rsidR="0019242D">
        <w:rPr>
          <w:rFonts w:ascii="Garamond" w:hAnsi="Garamond" w:cstheme="minorHAnsi"/>
        </w:rPr>
        <w:t xml:space="preserve"> </w:t>
      </w:r>
      <w:r w:rsidR="000D2CBD">
        <w:rPr>
          <w:rFonts w:ascii="Garamond" w:hAnsi="Garamond" w:cstheme="minorHAnsi"/>
        </w:rPr>
        <w:t xml:space="preserve">(2) the rule change </w:t>
      </w:r>
      <w:r w:rsidR="0019242D">
        <w:rPr>
          <w:rFonts w:ascii="Garamond" w:hAnsi="Garamond" w:cstheme="minorHAnsi"/>
        </w:rPr>
        <w:t xml:space="preserve">had little deterrent effect </w:t>
      </w:r>
      <w:r w:rsidR="00B67EF4">
        <w:rPr>
          <w:rFonts w:ascii="Garamond" w:hAnsi="Garamond" w:cstheme="minorHAnsi"/>
        </w:rPr>
        <w:t xml:space="preserve">because it </w:t>
      </w:r>
      <w:r w:rsidR="0019242D">
        <w:rPr>
          <w:rFonts w:ascii="Garamond" w:hAnsi="Garamond" w:cstheme="minorHAnsi"/>
        </w:rPr>
        <w:t xml:space="preserve">was </w:t>
      </w:r>
      <w:r w:rsidR="0019242D">
        <w:rPr>
          <w:rFonts w:ascii="Garamond" w:hAnsi="Garamond" w:cstheme="minorHAnsi"/>
        </w:rPr>
        <w:lastRenderedPageBreak/>
        <w:t>minimally enforced</w:t>
      </w:r>
      <w:r w:rsidR="00483A82">
        <w:rPr>
          <w:rFonts w:ascii="Garamond" w:hAnsi="Garamond" w:cstheme="minorHAnsi"/>
        </w:rPr>
        <w:t xml:space="preserve">, </w:t>
      </w:r>
      <w:r w:rsidR="0019242D">
        <w:rPr>
          <w:rFonts w:ascii="Garamond" w:hAnsi="Garamond" w:cstheme="minorHAnsi"/>
        </w:rPr>
        <w:t xml:space="preserve">perceived to be </w:t>
      </w:r>
      <w:r w:rsidR="00B67EF4">
        <w:rPr>
          <w:rFonts w:ascii="Garamond" w:hAnsi="Garamond" w:cstheme="minorHAnsi"/>
        </w:rPr>
        <w:t xml:space="preserve">minimally </w:t>
      </w:r>
      <w:r w:rsidR="0019242D">
        <w:rPr>
          <w:rFonts w:ascii="Garamond" w:hAnsi="Garamond" w:cstheme="minorHAnsi"/>
        </w:rPr>
        <w:t>enforced</w:t>
      </w:r>
      <w:r w:rsidR="004B3CE1">
        <w:rPr>
          <w:rFonts w:ascii="Garamond" w:hAnsi="Garamond" w:cstheme="minorHAnsi"/>
        </w:rPr>
        <w:t>, or because sellers were unaware of the change</w:t>
      </w:r>
      <w:r w:rsidR="00B67EF4">
        <w:rPr>
          <w:rFonts w:ascii="Garamond" w:hAnsi="Garamond" w:cstheme="minorHAnsi"/>
        </w:rPr>
        <w:t>; or</w:t>
      </w:r>
      <w:r w:rsidR="0019242D">
        <w:rPr>
          <w:rFonts w:ascii="Garamond" w:hAnsi="Garamond" w:cstheme="minorHAnsi"/>
        </w:rPr>
        <w:t xml:space="preserve"> (</w:t>
      </w:r>
      <w:r w:rsidR="000D2CBD">
        <w:rPr>
          <w:rFonts w:ascii="Garamond" w:hAnsi="Garamond" w:cstheme="minorHAnsi"/>
        </w:rPr>
        <w:t>3</w:t>
      </w:r>
      <w:r w:rsidR="0019242D">
        <w:rPr>
          <w:rFonts w:ascii="Garamond" w:hAnsi="Garamond" w:cstheme="minorHAnsi"/>
        </w:rPr>
        <w:t>)</w:t>
      </w:r>
      <w:r w:rsidR="00E750D0">
        <w:rPr>
          <w:rFonts w:ascii="Garamond" w:hAnsi="Garamond" w:cstheme="minorHAnsi"/>
        </w:rPr>
        <w:t xml:space="preserve"> not that many sellers were affected by the rule change (i.e., few private sellers were actually redefined as being “engaged in the business” </w:t>
      </w:r>
      <w:r w:rsidR="00E750D0">
        <w:rPr>
          <w:rFonts w:ascii="Garamond" w:hAnsi="Garamond"/>
        </w:rPr>
        <w:t>of dealing firearms to “</w:t>
      </w:r>
      <w:r w:rsidR="00E750D0" w:rsidRPr="006A79B9">
        <w:rPr>
          <w:rFonts w:ascii="Garamond" w:hAnsi="Garamond"/>
        </w:rPr>
        <w:t>predominantly earn a profit</w:t>
      </w:r>
      <w:r w:rsidR="00E750D0">
        <w:rPr>
          <w:rFonts w:ascii="Garamond" w:hAnsi="Garamond"/>
        </w:rPr>
        <w:t>”</w:t>
      </w:r>
      <w:r w:rsidR="00FC1F0D">
        <w:rPr>
          <w:rFonts w:ascii="Garamond" w:hAnsi="Garamond"/>
        </w:rPr>
        <w:t>).</w:t>
      </w:r>
    </w:p>
    <w:p w14:paraId="2C352AF8" w14:textId="3F57A72B" w:rsidR="000D2CBD" w:rsidRPr="006A79B9" w:rsidRDefault="000D2CBD" w:rsidP="00C126FE">
      <w:pPr>
        <w:spacing w:line="480" w:lineRule="auto"/>
        <w:ind w:firstLine="720"/>
        <w:jc w:val="both"/>
        <w:rPr>
          <w:rFonts w:ascii="Garamond" w:hAnsi="Garamond"/>
        </w:rPr>
      </w:pPr>
      <w:r>
        <w:rPr>
          <w:rFonts w:ascii="Garamond" w:hAnsi="Garamond" w:cstheme="minorHAnsi"/>
        </w:rPr>
        <w:t xml:space="preserve">With respect to ambiguity with the rule change, at the outset of the article we noted that the distinction between the old rule and new rule was the addition of language on the intent of sellers to </w:t>
      </w:r>
      <w:r w:rsidRPr="006A79B9">
        <w:rPr>
          <w:rFonts w:ascii="Garamond" w:hAnsi="Garamond"/>
        </w:rPr>
        <w:t xml:space="preserve">“predominantly earn a profit.” </w:t>
      </w:r>
      <w:r w:rsidR="004976B0">
        <w:rPr>
          <w:rFonts w:ascii="Garamond" w:hAnsi="Garamond"/>
        </w:rPr>
        <w:t xml:space="preserve">While ATF (2024) did publish a guidance to help firearm sellers navigate the implications of the rule change, ambiguity over the phrases “engaged in the business” and “predominantly earn a profit” likely led </w:t>
      </w:r>
      <w:r w:rsidR="00483A82">
        <w:rPr>
          <w:rFonts w:ascii="Garamond" w:hAnsi="Garamond"/>
        </w:rPr>
        <w:t>at least some</w:t>
      </w:r>
      <w:r w:rsidR="004976B0">
        <w:rPr>
          <w:rFonts w:ascii="Garamond" w:hAnsi="Garamond"/>
        </w:rPr>
        <w:t xml:space="preserve"> would-be firearm sellers to conclude that either the rule change was not applicable to them or that the rule change really did not change anything. This view is validated by sentiment across several online gun forums, including the following post on Reddit’s r/law forum (</w:t>
      </w:r>
      <w:r w:rsidR="00EF1A92" w:rsidRPr="00C126FE">
        <w:rPr>
          <w:rFonts w:ascii="Garamond" w:hAnsi="Garamond"/>
        </w:rPr>
        <w:t>sh1tpost1nsh1t</w:t>
      </w:r>
      <w:r w:rsidR="004976B0" w:rsidRPr="00483A82">
        <w:rPr>
          <w:rFonts w:ascii="Garamond" w:hAnsi="Garamond"/>
        </w:rPr>
        <w:t xml:space="preserve"> </w:t>
      </w:r>
      <w:r w:rsidR="004976B0">
        <w:rPr>
          <w:rFonts w:ascii="Garamond" w:hAnsi="Garamond"/>
        </w:rPr>
        <w:t xml:space="preserve">2024):  </w:t>
      </w:r>
    </w:p>
    <w:p w14:paraId="4314C05B" w14:textId="05380E51" w:rsidR="000D2CBD" w:rsidRPr="00C126FE" w:rsidRDefault="004976B0" w:rsidP="00C126FE">
      <w:pPr>
        <w:spacing w:line="480" w:lineRule="auto"/>
        <w:ind w:left="720" w:right="720"/>
        <w:jc w:val="both"/>
        <w:rPr>
          <w:rFonts w:ascii="Garamond" w:hAnsi="Garamond" w:cstheme="minorHAnsi"/>
          <w:sz w:val="22"/>
          <w:szCs w:val="22"/>
        </w:rPr>
      </w:pPr>
      <w:r w:rsidRPr="00C126FE">
        <w:rPr>
          <w:rFonts w:ascii="Garamond" w:hAnsi="Garamond" w:cstheme="minorHAnsi"/>
          <w:sz w:val="22"/>
          <w:szCs w:val="22"/>
        </w:rPr>
        <w:t>“</w:t>
      </w:r>
      <w:bookmarkStart w:id="1" w:name="_Hlk203560556"/>
      <w:r w:rsidRPr="00C126FE">
        <w:rPr>
          <w:rFonts w:ascii="Garamond" w:hAnsi="Garamond" w:cstheme="minorHAnsi"/>
          <w:sz w:val="22"/>
          <w:szCs w:val="22"/>
        </w:rPr>
        <w:t>N</w:t>
      </w:r>
      <w:r w:rsidR="000D2CBD" w:rsidRPr="00C126FE">
        <w:rPr>
          <w:rFonts w:ascii="Garamond" w:hAnsi="Garamond" w:cstheme="minorHAnsi"/>
          <w:sz w:val="22"/>
          <w:szCs w:val="22"/>
        </w:rPr>
        <w:t xml:space="preserve">othing much has really changed. Private sales are still allowed. I can still post up at a gun show or post a classified to sell off parts of my collection to fund new purchases. The rule doesn't close a loophole, it just creates (or </w:t>
      </w:r>
      <w:proofErr w:type="gramStart"/>
      <w:r w:rsidR="000D2CBD" w:rsidRPr="00C126FE">
        <w:rPr>
          <w:rFonts w:ascii="Garamond" w:hAnsi="Garamond" w:cstheme="minorHAnsi"/>
          <w:sz w:val="22"/>
          <w:szCs w:val="22"/>
        </w:rPr>
        <w:t>really mostly</w:t>
      </w:r>
      <w:proofErr w:type="gramEnd"/>
      <w:r w:rsidR="000D2CBD" w:rsidRPr="00C126FE">
        <w:rPr>
          <w:rFonts w:ascii="Garamond" w:hAnsi="Garamond" w:cstheme="minorHAnsi"/>
          <w:sz w:val="22"/>
          <w:szCs w:val="22"/>
        </w:rPr>
        <w:t xml:space="preserve"> restates) the existing rules about straw purchases and operating without a license. The rule was and remains that private sales don't require a background check. And the people regularly buying and selling guns for a profit, or otherwise acting as straw purchasers, were already breaking the law and continue to be breaking the law, and this rule doesn't seem to be creating new mechanisms for identifying and stopping those people. So really this seems like a preservation of the status quo</w:t>
      </w:r>
      <w:r w:rsidR="00483A82">
        <w:rPr>
          <w:rFonts w:ascii="Garamond" w:hAnsi="Garamond" w:cstheme="minorHAnsi"/>
          <w:sz w:val="22"/>
          <w:szCs w:val="22"/>
        </w:rPr>
        <w:t>…</w:t>
      </w:r>
      <w:r w:rsidR="000D2CBD" w:rsidRPr="00C126FE">
        <w:rPr>
          <w:rFonts w:ascii="Garamond" w:hAnsi="Garamond" w:cstheme="minorHAnsi"/>
          <w:sz w:val="22"/>
          <w:szCs w:val="22"/>
        </w:rPr>
        <w:t>At best I think a bunch of government lawyers got paid to waste a bunch of ink on a rule that will serve as a symbolic but ultimately meaningless gesture to people who want to see politicians do something about gun laws, but don</w:t>
      </w:r>
      <w:r w:rsidR="00065F55">
        <w:rPr>
          <w:rFonts w:ascii="Garamond" w:hAnsi="Garamond" w:cstheme="minorHAnsi"/>
          <w:sz w:val="22"/>
          <w:szCs w:val="22"/>
        </w:rPr>
        <w:t>’</w:t>
      </w:r>
      <w:r w:rsidR="000D2CBD" w:rsidRPr="00C126FE">
        <w:rPr>
          <w:rFonts w:ascii="Garamond" w:hAnsi="Garamond" w:cstheme="minorHAnsi"/>
          <w:sz w:val="22"/>
          <w:szCs w:val="22"/>
        </w:rPr>
        <w:t>t fundamentally understand gun laws.</w:t>
      </w:r>
      <w:r w:rsidR="00065F55">
        <w:rPr>
          <w:rFonts w:ascii="Garamond" w:hAnsi="Garamond" w:cstheme="minorHAnsi"/>
          <w:sz w:val="22"/>
          <w:szCs w:val="22"/>
        </w:rPr>
        <w:t>”</w:t>
      </w:r>
      <w:r w:rsidR="000D2CBD" w:rsidRPr="00C126FE">
        <w:rPr>
          <w:rFonts w:ascii="Garamond" w:hAnsi="Garamond" w:cstheme="minorHAnsi"/>
          <w:sz w:val="22"/>
          <w:szCs w:val="22"/>
        </w:rPr>
        <w:t xml:space="preserve"> </w:t>
      </w:r>
      <w:bookmarkEnd w:id="1"/>
    </w:p>
    <w:p w14:paraId="345E5102" w14:textId="77777777" w:rsidR="000D2CBD" w:rsidRDefault="000D2CBD" w:rsidP="00BB6598">
      <w:pPr>
        <w:spacing w:line="480" w:lineRule="auto"/>
        <w:ind w:firstLine="720"/>
        <w:jc w:val="both"/>
        <w:rPr>
          <w:rFonts w:ascii="Garamond" w:hAnsi="Garamond" w:cstheme="minorHAnsi"/>
        </w:rPr>
      </w:pPr>
    </w:p>
    <w:p w14:paraId="50341002" w14:textId="62E09591" w:rsidR="00CB3240" w:rsidRDefault="00B67EF4" w:rsidP="00AC206A">
      <w:pPr>
        <w:spacing w:line="480" w:lineRule="auto"/>
        <w:jc w:val="both"/>
        <w:rPr>
          <w:rFonts w:ascii="Garamond" w:hAnsi="Garamond" w:cstheme="minorHAnsi"/>
        </w:rPr>
      </w:pPr>
      <w:r>
        <w:rPr>
          <w:rFonts w:ascii="Garamond" w:hAnsi="Garamond" w:cstheme="minorHAnsi"/>
        </w:rPr>
        <w:lastRenderedPageBreak/>
        <w:tab/>
      </w:r>
      <w:r w:rsidR="006E4C70">
        <w:rPr>
          <w:rFonts w:ascii="Garamond" w:hAnsi="Garamond" w:cstheme="minorHAnsi"/>
        </w:rPr>
        <w:t xml:space="preserve">With respect to the </w:t>
      </w:r>
      <w:r w:rsidR="000D2CBD">
        <w:rPr>
          <w:rFonts w:ascii="Garamond" w:hAnsi="Garamond" w:cstheme="minorHAnsi"/>
        </w:rPr>
        <w:t>second</w:t>
      </w:r>
      <w:r w:rsidR="006E4C70">
        <w:rPr>
          <w:rFonts w:ascii="Garamond" w:hAnsi="Garamond" w:cstheme="minorHAnsi"/>
        </w:rPr>
        <w:t xml:space="preserve"> possibility,</w:t>
      </w:r>
      <w:r w:rsidR="00AC206A">
        <w:rPr>
          <w:rFonts w:ascii="Garamond" w:hAnsi="Garamond" w:cstheme="minorHAnsi"/>
        </w:rPr>
        <w:t xml:space="preserve"> </w:t>
      </w:r>
      <w:r w:rsidR="00CB3240">
        <w:rPr>
          <w:rFonts w:ascii="Garamond" w:hAnsi="Garamond" w:cstheme="minorHAnsi"/>
        </w:rPr>
        <w:t xml:space="preserve">we acknowledge that the loophole rule change took effect during a divisive presidential election and the early months of its implementation involved a change in presidential administrations to one that has redefined the role of the Department of Justice and the rule of law in the United States. </w:t>
      </w:r>
      <w:r w:rsidR="00410E8B">
        <w:rPr>
          <w:rFonts w:ascii="Garamond" w:hAnsi="Garamond" w:cstheme="minorHAnsi"/>
        </w:rPr>
        <w:t xml:space="preserve">While easing gun regulations has not been among the </w:t>
      </w:r>
      <w:r w:rsidR="00FC1F0D">
        <w:rPr>
          <w:rFonts w:ascii="Garamond" w:hAnsi="Garamond" w:cstheme="minorHAnsi"/>
        </w:rPr>
        <w:t>highest</w:t>
      </w:r>
      <w:r w:rsidR="00410E8B">
        <w:rPr>
          <w:rFonts w:ascii="Garamond" w:hAnsi="Garamond" w:cstheme="minorHAnsi"/>
        </w:rPr>
        <w:t xml:space="preserve"> priorities during the first year of the current presidential administration, the Attorney General has nevertheless signaled that the gun control pursuits of the Biden era are</w:t>
      </w:r>
      <w:r w:rsidR="00621BE4">
        <w:rPr>
          <w:rFonts w:ascii="Garamond" w:hAnsi="Garamond" w:cstheme="minorHAnsi"/>
        </w:rPr>
        <w:t xml:space="preserve"> not shared by the current administration and a</w:t>
      </w:r>
      <w:r w:rsidR="00FC1F0D">
        <w:rPr>
          <w:rFonts w:ascii="Garamond" w:hAnsi="Garamond" w:cstheme="minorHAnsi"/>
        </w:rPr>
        <w:t>re</w:t>
      </w:r>
      <w:r w:rsidR="00621BE4">
        <w:rPr>
          <w:rFonts w:ascii="Garamond" w:hAnsi="Garamond" w:cstheme="minorHAnsi"/>
        </w:rPr>
        <w:t xml:space="preserve"> being reviewed with an eye towards rescinding them (ATF 2025). </w:t>
      </w:r>
      <w:r w:rsidR="0093380D">
        <w:rPr>
          <w:rFonts w:ascii="Garamond" w:hAnsi="Garamond" w:cstheme="minorHAnsi"/>
        </w:rPr>
        <w:t>Hence</w:t>
      </w:r>
      <w:r w:rsidR="00CB3240">
        <w:rPr>
          <w:rFonts w:ascii="Garamond" w:hAnsi="Garamond" w:cstheme="minorHAnsi"/>
        </w:rPr>
        <w:t xml:space="preserve">, the </w:t>
      </w:r>
      <w:r w:rsidR="0093380D">
        <w:rPr>
          <w:rFonts w:ascii="Garamond" w:hAnsi="Garamond" w:cstheme="minorHAnsi"/>
        </w:rPr>
        <w:t xml:space="preserve">rule change may have been a </w:t>
      </w:r>
      <w:r w:rsidR="00FC1F0D">
        <w:rPr>
          <w:rFonts w:ascii="Garamond" w:hAnsi="Garamond" w:cstheme="minorHAnsi"/>
        </w:rPr>
        <w:t xml:space="preserve">reasonably sound </w:t>
      </w:r>
      <w:r w:rsidR="00CB3240">
        <w:rPr>
          <w:rFonts w:ascii="Garamond" w:hAnsi="Garamond" w:cstheme="minorHAnsi"/>
        </w:rPr>
        <w:t xml:space="preserve">idea, but its implementation </w:t>
      </w:r>
      <w:r w:rsidR="00410E8B">
        <w:rPr>
          <w:rFonts w:ascii="Garamond" w:hAnsi="Garamond" w:cstheme="minorHAnsi"/>
        </w:rPr>
        <w:t>was</w:t>
      </w:r>
      <w:r w:rsidR="00CB3240">
        <w:rPr>
          <w:rFonts w:ascii="Garamond" w:hAnsi="Garamond" w:cstheme="minorHAnsi"/>
        </w:rPr>
        <w:t xml:space="preserve"> dead on arrival given the political context of the United States. </w:t>
      </w:r>
      <w:r w:rsidR="0093380D">
        <w:rPr>
          <w:rFonts w:ascii="Garamond" w:hAnsi="Garamond" w:cstheme="minorHAnsi"/>
        </w:rPr>
        <w:t>I</w:t>
      </w:r>
      <w:r w:rsidR="002662BF">
        <w:rPr>
          <w:rFonts w:ascii="Garamond" w:hAnsi="Garamond" w:cstheme="minorHAnsi"/>
        </w:rPr>
        <w:t xml:space="preserve">f that is the case, there should be evidence of the failure of ATF to effectively enforce a regulation that was </w:t>
      </w:r>
      <w:r w:rsidR="006C3EAE">
        <w:rPr>
          <w:rFonts w:ascii="Garamond" w:hAnsi="Garamond" w:cstheme="minorHAnsi"/>
        </w:rPr>
        <w:t xml:space="preserve">technically </w:t>
      </w:r>
      <w:r w:rsidR="002662BF">
        <w:rPr>
          <w:rFonts w:ascii="Garamond" w:hAnsi="Garamond" w:cstheme="minorHAnsi"/>
        </w:rPr>
        <w:t>active for the entire 12-month post-treatment observation period examined in this study.</w:t>
      </w:r>
    </w:p>
    <w:p w14:paraId="7F06E359" w14:textId="7607FD5E" w:rsidR="00B67EF4" w:rsidRPr="00BA25B0" w:rsidRDefault="002662BF" w:rsidP="00BA25B0">
      <w:pPr>
        <w:spacing w:line="480" w:lineRule="auto"/>
        <w:ind w:firstLine="720"/>
        <w:jc w:val="both"/>
        <w:rPr>
          <w:rFonts w:ascii="Garamond" w:hAnsi="Garamond"/>
        </w:rPr>
      </w:pPr>
      <w:r>
        <w:rPr>
          <w:rFonts w:ascii="Garamond" w:hAnsi="Garamond" w:cstheme="minorHAnsi"/>
        </w:rPr>
        <w:t xml:space="preserve">Accordingly, </w:t>
      </w:r>
      <w:r w:rsidR="00AC206A">
        <w:rPr>
          <w:rFonts w:ascii="Garamond" w:hAnsi="Garamond" w:cstheme="minorHAnsi"/>
        </w:rPr>
        <w:t xml:space="preserve">we </w:t>
      </w:r>
      <w:r w:rsidR="006E4C70">
        <w:rPr>
          <w:rFonts w:ascii="Garamond" w:hAnsi="Garamond" w:cstheme="minorHAnsi"/>
        </w:rPr>
        <w:t xml:space="preserve">submitted a Freedom of Information request to ATF </w:t>
      </w:r>
      <w:r w:rsidR="00AC206A">
        <w:rPr>
          <w:rFonts w:ascii="Garamond" w:hAnsi="Garamond" w:cstheme="minorHAnsi"/>
        </w:rPr>
        <w:t>directly asking for information about enforcement</w:t>
      </w:r>
      <w:r w:rsidR="006E4C70">
        <w:rPr>
          <w:rFonts w:ascii="Garamond" w:hAnsi="Garamond" w:cstheme="minorHAnsi"/>
        </w:rPr>
        <w:t>, specifically investigation</w:t>
      </w:r>
      <w:r w:rsidR="00AC206A">
        <w:rPr>
          <w:rFonts w:ascii="Garamond" w:hAnsi="Garamond" w:cstheme="minorHAnsi"/>
        </w:rPr>
        <w:t>s</w:t>
      </w:r>
      <w:r w:rsidR="006E4C70">
        <w:rPr>
          <w:rFonts w:ascii="Garamond" w:hAnsi="Garamond" w:cstheme="minorHAnsi"/>
        </w:rPr>
        <w:t xml:space="preserve"> and prosecution</w:t>
      </w:r>
      <w:r w:rsidR="00AC206A">
        <w:rPr>
          <w:rFonts w:ascii="Garamond" w:hAnsi="Garamond" w:cstheme="minorHAnsi"/>
        </w:rPr>
        <w:t>s</w:t>
      </w:r>
      <w:r w:rsidR="006E4C70">
        <w:rPr>
          <w:rFonts w:ascii="Garamond" w:hAnsi="Garamond" w:cstheme="minorHAnsi"/>
        </w:rPr>
        <w:t xml:space="preserve"> </w:t>
      </w:r>
      <w:r>
        <w:rPr>
          <w:rFonts w:ascii="Garamond" w:hAnsi="Garamond" w:cstheme="minorHAnsi"/>
        </w:rPr>
        <w:t xml:space="preserve">over the last several years </w:t>
      </w:r>
      <w:r w:rsidR="006E4C70">
        <w:rPr>
          <w:rFonts w:ascii="Garamond" w:hAnsi="Garamond" w:cstheme="minorHAnsi"/>
        </w:rPr>
        <w:t>against any individuals</w:t>
      </w:r>
      <w:r w:rsidR="006E4C70" w:rsidRPr="006E4C70">
        <w:rPr>
          <w:rFonts w:ascii="Garamond" w:hAnsi="Garamond" w:cstheme="minorHAnsi"/>
        </w:rPr>
        <w:t xml:space="preserve"> </w:t>
      </w:r>
      <w:r w:rsidR="006E4C70" w:rsidRPr="006E4C70">
        <w:rPr>
          <w:rFonts w:ascii="Garamond" w:hAnsi="Garamond"/>
        </w:rPr>
        <w:t>for willfully engaging in the business of dealing in firearms without the required license</w:t>
      </w:r>
      <w:r w:rsidR="0031511B">
        <w:rPr>
          <w:rFonts w:ascii="Garamond" w:hAnsi="Garamond"/>
        </w:rPr>
        <w:t xml:space="preserve"> (i.e., an alleged violation of 18 U.S.C. §922(a)(1)(A))</w:t>
      </w:r>
      <w:r w:rsidR="006E4C70" w:rsidRPr="006E4C70">
        <w:rPr>
          <w:rFonts w:ascii="Garamond" w:hAnsi="Garamond"/>
        </w:rPr>
        <w:t>.</w:t>
      </w:r>
      <w:r w:rsidR="006E4C70">
        <w:rPr>
          <w:rFonts w:ascii="Garamond" w:hAnsi="Garamond"/>
        </w:rPr>
        <w:t xml:space="preserve"> ATF </w:t>
      </w:r>
      <w:r w:rsidR="0031511B">
        <w:rPr>
          <w:rFonts w:ascii="Garamond" w:hAnsi="Garamond"/>
        </w:rPr>
        <w:t>provided a partial response thus far,</w:t>
      </w:r>
      <w:r w:rsidR="00BA25B0">
        <w:rPr>
          <w:rFonts w:ascii="Garamond" w:hAnsi="Garamond"/>
        </w:rPr>
        <w:t xml:space="preserve"> </w:t>
      </w:r>
      <w:r w:rsidR="004D25CF">
        <w:rPr>
          <w:rFonts w:ascii="Garamond" w:hAnsi="Garamond"/>
        </w:rPr>
        <w:t>about</w:t>
      </w:r>
      <w:r w:rsidR="00BA25B0">
        <w:rPr>
          <w:rFonts w:ascii="Garamond" w:hAnsi="Garamond"/>
        </w:rPr>
        <w:t xml:space="preserve"> enforcement activity through the end of the Biden Administration.</w:t>
      </w:r>
      <w:r w:rsidR="0031511B">
        <w:rPr>
          <w:rFonts w:ascii="Garamond" w:hAnsi="Garamond"/>
        </w:rPr>
        <w:t xml:space="preserve"> </w:t>
      </w:r>
      <w:r w:rsidR="00BA25B0">
        <w:rPr>
          <w:rFonts w:ascii="Garamond" w:hAnsi="Garamond"/>
        </w:rPr>
        <w:t xml:space="preserve">There appears to have been </w:t>
      </w:r>
      <w:r w:rsidR="0031511B">
        <w:rPr>
          <w:rFonts w:ascii="Garamond" w:hAnsi="Garamond"/>
        </w:rPr>
        <w:t>little change in enforcement. In the year prior to the loophole rule change</w:t>
      </w:r>
      <w:r w:rsidR="00BA25B0">
        <w:rPr>
          <w:rFonts w:ascii="Garamond" w:hAnsi="Garamond"/>
        </w:rPr>
        <w:t xml:space="preserve"> (i.e., May 2023 to April 2024)</w:t>
      </w:r>
      <w:r w:rsidR="0031511B">
        <w:rPr>
          <w:rFonts w:ascii="Garamond" w:hAnsi="Garamond"/>
        </w:rPr>
        <w:t xml:space="preserve">, ATF closed an average of 25 </w:t>
      </w:r>
      <w:r w:rsidR="004D25CF">
        <w:rPr>
          <w:rFonts w:ascii="Garamond" w:hAnsi="Garamond"/>
        </w:rPr>
        <w:t xml:space="preserve">investigative </w:t>
      </w:r>
      <w:r w:rsidR="0031511B">
        <w:rPr>
          <w:rFonts w:ascii="Garamond" w:hAnsi="Garamond"/>
        </w:rPr>
        <w:t xml:space="preserve">cases per month related to violations of dealing firearms without a license. In the first seven months after the rule change went into effect, ATF averaged 26 case closures per month. The stability in cases could reflect </w:t>
      </w:r>
      <w:r w:rsidR="00BA25B0">
        <w:rPr>
          <w:rFonts w:ascii="Garamond" w:hAnsi="Garamond"/>
        </w:rPr>
        <w:t xml:space="preserve">ATF investigate capacity (e.g., enforcement activity remained steady even </w:t>
      </w:r>
      <w:r w:rsidR="004D25CF">
        <w:rPr>
          <w:rFonts w:ascii="Garamond" w:hAnsi="Garamond"/>
        </w:rPr>
        <w:t>if</w:t>
      </w:r>
      <w:r w:rsidR="00BA25B0">
        <w:rPr>
          <w:rFonts w:ascii="Garamond" w:hAnsi="Garamond"/>
        </w:rPr>
        <w:t xml:space="preserve"> violations of the law increased). Alternatively, it could reflect the fact that the rule change did not actually affect the potential ATF caseload, which is a point we consider shortly. </w:t>
      </w:r>
    </w:p>
    <w:p w14:paraId="2C385D89" w14:textId="35D95A9C" w:rsidR="000D2CBD" w:rsidRPr="000D2CBD" w:rsidRDefault="00065F55" w:rsidP="000D2CBD">
      <w:pPr>
        <w:spacing w:line="480" w:lineRule="auto"/>
        <w:ind w:firstLine="720"/>
        <w:jc w:val="both"/>
        <w:rPr>
          <w:rFonts w:ascii="Garamond" w:hAnsi="Garamond"/>
        </w:rPr>
      </w:pPr>
      <w:r>
        <w:rPr>
          <w:rFonts w:ascii="Garamond" w:hAnsi="Garamond"/>
        </w:rPr>
        <w:lastRenderedPageBreak/>
        <w:t>As noted, w</w:t>
      </w:r>
      <w:r w:rsidR="006E4C70" w:rsidRPr="00AC206A">
        <w:rPr>
          <w:rFonts w:ascii="Garamond" w:hAnsi="Garamond"/>
        </w:rPr>
        <w:t xml:space="preserve">e examined several online </w:t>
      </w:r>
      <w:r w:rsidR="00100955">
        <w:rPr>
          <w:rFonts w:ascii="Garamond" w:hAnsi="Garamond"/>
        </w:rPr>
        <w:t xml:space="preserve">discussion </w:t>
      </w:r>
      <w:r w:rsidR="006E4C70" w:rsidRPr="00AC206A">
        <w:rPr>
          <w:rFonts w:ascii="Garamond" w:hAnsi="Garamond"/>
        </w:rPr>
        <w:t>forums for gun owners and enthusiasts</w:t>
      </w:r>
      <w:r>
        <w:rPr>
          <w:rFonts w:ascii="Garamond" w:hAnsi="Garamond"/>
        </w:rPr>
        <w:t>,</w:t>
      </w:r>
      <w:r w:rsidR="006E4C70" w:rsidRPr="00AC206A">
        <w:rPr>
          <w:rFonts w:ascii="Garamond" w:hAnsi="Garamond"/>
        </w:rPr>
        <w:t xml:space="preserve"> to understand the reaction to the rule change</w:t>
      </w:r>
      <w:r w:rsidR="00AC206A">
        <w:rPr>
          <w:rFonts w:ascii="Garamond" w:hAnsi="Garamond"/>
        </w:rPr>
        <w:t xml:space="preserve"> a</w:t>
      </w:r>
      <w:r w:rsidR="00100955">
        <w:rPr>
          <w:rFonts w:ascii="Garamond" w:hAnsi="Garamond"/>
        </w:rPr>
        <w:t>s well as</w:t>
      </w:r>
      <w:r w:rsidR="00AC206A">
        <w:rPr>
          <w:rFonts w:ascii="Garamond" w:hAnsi="Garamond"/>
        </w:rPr>
        <w:t xml:space="preserve"> its efficacy</w:t>
      </w:r>
      <w:r w:rsidR="006E4C70" w:rsidRPr="00AC206A">
        <w:rPr>
          <w:rFonts w:ascii="Garamond" w:hAnsi="Garamond"/>
        </w:rPr>
        <w:t xml:space="preserve">. A common </w:t>
      </w:r>
      <w:r w:rsidR="00AC206A">
        <w:rPr>
          <w:rFonts w:ascii="Garamond" w:hAnsi="Garamond"/>
        </w:rPr>
        <w:t xml:space="preserve">view among posters </w:t>
      </w:r>
      <w:r w:rsidR="006F3A7C">
        <w:rPr>
          <w:rFonts w:ascii="Garamond" w:hAnsi="Garamond"/>
        </w:rPr>
        <w:t>i</w:t>
      </w:r>
      <w:r w:rsidR="006E4C70" w:rsidRPr="00AC206A">
        <w:rPr>
          <w:rFonts w:ascii="Garamond" w:hAnsi="Garamond"/>
        </w:rPr>
        <w:t>s that the rule change</w:t>
      </w:r>
      <w:r w:rsidR="006F3A7C">
        <w:rPr>
          <w:rFonts w:ascii="Garamond" w:hAnsi="Garamond"/>
        </w:rPr>
        <w:t xml:space="preserve"> is unconstitutional, in violation of the Second Amendment</w:t>
      </w:r>
      <w:r w:rsidR="000D2CBD">
        <w:rPr>
          <w:rFonts w:ascii="Garamond" w:hAnsi="Garamond"/>
        </w:rPr>
        <w:t>, and therefore unenforceable</w:t>
      </w:r>
      <w:r w:rsidR="006F3A7C">
        <w:rPr>
          <w:rFonts w:ascii="Garamond" w:hAnsi="Garamond"/>
        </w:rPr>
        <w:t xml:space="preserve">. </w:t>
      </w:r>
      <w:r w:rsidR="000D2CBD">
        <w:rPr>
          <w:rFonts w:ascii="Garamond" w:hAnsi="Garamond"/>
        </w:rPr>
        <w:t>For instance, one respondent on Reddit’s r/progun forum commented: “</w:t>
      </w:r>
      <w:r w:rsidR="000D2CBD" w:rsidRPr="000D2CBD">
        <w:rPr>
          <w:rFonts w:ascii="Garamond" w:hAnsi="Garamond"/>
        </w:rPr>
        <w:t>The new rule (all the rules in fact, along with the ATFs very existence) are a violation of Bruen, not to mention the 2nd Amendment itself. Bottom line, it</w:t>
      </w:r>
      <w:r w:rsidR="000D2CBD">
        <w:rPr>
          <w:rFonts w:ascii="Garamond" w:hAnsi="Garamond"/>
        </w:rPr>
        <w:t>’</w:t>
      </w:r>
      <w:r w:rsidR="000D2CBD" w:rsidRPr="000D2CBD">
        <w:rPr>
          <w:rFonts w:ascii="Garamond" w:hAnsi="Garamond"/>
        </w:rPr>
        <w:t>s unenforceable</w:t>
      </w:r>
      <w:r w:rsidR="000D2CBD">
        <w:rPr>
          <w:rFonts w:ascii="Garamond" w:hAnsi="Garamond"/>
        </w:rPr>
        <w:t xml:space="preserve">” </w:t>
      </w:r>
      <w:r w:rsidR="000D2CBD" w:rsidRPr="006F3A7C">
        <w:rPr>
          <w:rFonts w:ascii="Garamond" w:hAnsi="Garamond" w:cstheme="minorHAnsi"/>
        </w:rPr>
        <w:t>(</w:t>
      </w:r>
      <w:r w:rsidR="000D2CBD">
        <w:rPr>
          <w:rFonts w:ascii="Garamond" w:hAnsi="Garamond" w:cstheme="minorHAnsi"/>
        </w:rPr>
        <w:t>JohnnyGalt129</w:t>
      </w:r>
      <w:r w:rsidR="000D2CBD" w:rsidRPr="006F3A7C">
        <w:rPr>
          <w:rFonts w:ascii="Garamond" w:hAnsi="Garamond" w:cstheme="minorHAnsi"/>
        </w:rPr>
        <w:t xml:space="preserve"> 2024)</w:t>
      </w:r>
      <w:r w:rsidR="000D2CBD">
        <w:rPr>
          <w:rFonts w:ascii="Garamond" w:hAnsi="Garamond" w:cstheme="minorHAnsi"/>
        </w:rPr>
        <w:t>.</w:t>
      </w:r>
      <w:r w:rsidR="000D2CBD">
        <w:rPr>
          <w:rFonts w:ascii="Garamond" w:hAnsi="Garamond"/>
        </w:rPr>
        <w:t xml:space="preserve"> </w:t>
      </w:r>
      <w:r w:rsidR="000D2CBD" w:rsidRPr="000D2CBD">
        <w:rPr>
          <w:rFonts w:ascii="Garamond" w:hAnsi="Garamond"/>
        </w:rPr>
        <w:t xml:space="preserve"> </w:t>
      </w:r>
    </w:p>
    <w:p w14:paraId="380D78AC" w14:textId="04D46F51" w:rsidR="006F3A7C" w:rsidRDefault="00100955" w:rsidP="00AC206A">
      <w:pPr>
        <w:spacing w:line="480" w:lineRule="auto"/>
        <w:ind w:firstLine="720"/>
        <w:jc w:val="both"/>
        <w:rPr>
          <w:rFonts w:ascii="Garamond" w:hAnsi="Garamond"/>
        </w:rPr>
      </w:pPr>
      <w:r>
        <w:rPr>
          <w:rFonts w:ascii="Garamond" w:hAnsi="Garamond"/>
        </w:rPr>
        <w:t>Yet assertions about unconstitutionality were not limited to Second Amendment arguments. A</w:t>
      </w:r>
      <w:r w:rsidR="006F3A7C">
        <w:rPr>
          <w:rFonts w:ascii="Garamond" w:hAnsi="Garamond"/>
        </w:rPr>
        <w:t xml:space="preserve"> poster, on </w:t>
      </w:r>
      <w:r w:rsidR="006F3A7C" w:rsidRPr="006F3A7C">
        <w:rPr>
          <w:rFonts w:ascii="Garamond" w:hAnsi="Garamond" w:cstheme="minorHAnsi"/>
        </w:rPr>
        <w:t>Shotgun World’s online forum</w:t>
      </w:r>
      <w:r w:rsidR="006F3A7C">
        <w:rPr>
          <w:rFonts w:ascii="Garamond" w:hAnsi="Garamond" w:cstheme="minorHAnsi"/>
        </w:rPr>
        <w:t>,</w:t>
      </w:r>
      <w:r w:rsidR="006F3A7C" w:rsidRPr="006F3A7C">
        <w:rPr>
          <w:rFonts w:ascii="Garamond" w:hAnsi="Garamond" w:cstheme="minorHAnsi"/>
        </w:rPr>
        <w:t xml:space="preserve"> questioned ATF’s legal authority to enforce firearm regulations </w:t>
      </w:r>
      <w:proofErr w:type="gramStart"/>
      <w:r w:rsidR="006F3A7C" w:rsidRPr="006F3A7C">
        <w:rPr>
          <w:rFonts w:ascii="Garamond" w:hAnsi="Garamond" w:cstheme="minorHAnsi"/>
        </w:rPr>
        <w:t>in light of</w:t>
      </w:r>
      <w:proofErr w:type="gramEnd"/>
      <w:r w:rsidR="006F3A7C" w:rsidRPr="006F3A7C">
        <w:rPr>
          <w:rFonts w:ascii="Garamond" w:hAnsi="Garamond" w:cstheme="minorHAnsi"/>
        </w:rPr>
        <w:t xml:space="preserve"> the U.S. Supreme Court’s 2024 overruling of the </w:t>
      </w:r>
      <w:r w:rsidR="006F3A7C" w:rsidRPr="006F3A7C">
        <w:rPr>
          <w:rFonts w:ascii="Garamond" w:hAnsi="Garamond" w:cstheme="minorHAnsi"/>
          <w:i/>
          <w:iCs/>
        </w:rPr>
        <w:t>Chevron</w:t>
      </w:r>
      <w:r w:rsidR="006F3A7C" w:rsidRPr="006F3A7C">
        <w:rPr>
          <w:rFonts w:ascii="Garamond" w:hAnsi="Garamond" w:cstheme="minorHAnsi"/>
        </w:rPr>
        <w:t xml:space="preserve"> doctrine (i.e., </w:t>
      </w:r>
      <w:r w:rsidR="006F3A7C" w:rsidRPr="006F3A7C">
        <w:rPr>
          <w:rFonts w:ascii="Garamond" w:hAnsi="Garamond" w:cstheme="minorHAnsi"/>
          <w:i/>
          <w:iCs/>
        </w:rPr>
        <w:t>Loper Bright Enterprises v. Raimondo</w:t>
      </w:r>
      <w:r w:rsidR="006F3A7C" w:rsidRPr="006F3A7C">
        <w:rPr>
          <w:rFonts w:ascii="Garamond" w:hAnsi="Garamond" w:cstheme="minorHAnsi"/>
        </w:rPr>
        <w:t xml:space="preserve">, 603 U.S. ___ (2024)) (kknurick 2024). Under </w:t>
      </w:r>
      <w:r w:rsidR="006F3A7C" w:rsidRPr="006F3A7C">
        <w:rPr>
          <w:rFonts w:ascii="Garamond" w:hAnsi="Garamond" w:cstheme="minorHAnsi"/>
          <w:i/>
          <w:iCs/>
        </w:rPr>
        <w:t>Chevron</w:t>
      </w:r>
      <w:r w:rsidR="006F3A7C" w:rsidRPr="006F3A7C">
        <w:rPr>
          <w:rFonts w:ascii="Garamond" w:hAnsi="Garamond" w:cstheme="minorHAnsi"/>
        </w:rPr>
        <w:t xml:space="preserve">, established in </w:t>
      </w:r>
      <w:r w:rsidR="006F3A7C" w:rsidRPr="006F3A7C">
        <w:rPr>
          <w:rFonts w:ascii="Garamond" w:hAnsi="Garamond" w:cstheme="minorHAnsi"/>
          <w:i/>
          <w:iCs/>
        </w:rPr>
        <w:t>Chevron U.S.A., Inc. v. Natural Resources Defense Council, Inc.</w:t>
      </w:r>
      <w:r w:rsidR="006F3A7C" w:rsidRPr="006F3A7C">
        <w:rPr>
          <w:rFonts w:ascii="Garamond" w:hAnsi="Garamond" w:cstheme="minorHAnsi"/>
        </w:rPr>
        <w:t xml:space="preserve">, 468 U.S. 837 (1984), courts deferred to reasonable agency interpretations of ambiguous statutes. With Chevron overruled, some individuals may question ATF’s </w:t>
      </w:r>
      <w:r w:rsidR="006F3A7C">
        <w:rPr>
          <w:rFonts w:ascii="Garamond" w:hAnsi="Garamond" w:cstheme="minorHAnsi"/>
        </w:rPr>
        <w:t xml:space="preserve">authority to define and </w:t>
      </w:r>
      <w:r w:rsidR="006F3A7C" w:rsidRPr="006F3A7C">
        <w:rPr>
          <w:rFonts w:ascii="Garamond" w:hAnsi="Garamond" w:cstheme="minorHAnsi"/>
        </w:rPr>
        <w:t>interpret what it means to be “engaged in the business” of selling firearms.</w:t>
      </w:r>
      <w:r>
        <w:rPr>
          <w:rFonts w:ascii="Garamond" w:hAnsi="Garamond" w:cstheme="minorHAnsi"/>
        </w:rPr>
        <w:t xml:space="preserve"> If that authority is in doubt, then ATF’s threat of punishment may have little deterrent effect. </w:t>
      </w:r>
      <w:r w:rsidR="006F3A7C">
        <w:rPr>
          <w:rFonts w:ascii="Garamond" w:hAnsi="Garamond"/>
        </w:rPr>
        <w:t xml:space="preserve"> </w:t>
      </w:r>
    </w:p>
    <w:p w14:paraId="72A94E31" w14:textId="5EF3A949" w:rsidR="006E4C70" w:rsidRDefault="00196C8C" w:rsidP="00AC206A">
      <w:pPr>
        <w:spacing w:line="480" w:lineRule="auto"/>
        <w:ind w:firstLine="720"/>
        <w:jc w:val="both"/>
        <w:rPr>
          <w:rFonts w:ascii="Garamond" w:hAnsi="Garamond"/>
        </w:rPr>
      </w:pPr>
      <w:r>
        <w:rPr>
          <w:rFonts w:ascii="Garamond" w:hAnsi="Garamond"/>
        </w:rPr>
        <w:t xml:space="preserve">Shifting from a focus on constitutionality to views on enforcement, </w:t>
      </w:r>
      <w:r w:rsidR="001868C3" w:rsidRPr="00AC206A">
        <w:rPr>
          <w:rFonts w:ascii="Garamond" w:hAnsi="Garamond"/>
        </w:rPr>
        <w:t xml:space="preserve">we did observe </w:t>
      </w:r>
      <w:r w:rsidR="006C3EAE">
        <w:rPr>
          <w:rFonts w:ascii="Garamond" w:hAnsi="Garamond"/>
        </w:rPr>
        <w:t xml:space="preserve">online </w:t>
      </w:r>
      <w:r w:rsidR="001868C3" w:rsidRPr="00AC206A">
        <w:rPr>
          <w:rFonts w:ascii="Garamond" w:hAnsi="Garamond"/>
        </w:rPr>
        <w:t xml:space="preserve">posts describing ways to circumvent the rule change. For instance, </w:t>
      </w:r>
      <w:r>
        <w:rPr>
          <w:rFonts w:ascii="Garamond" w:hAnsi="Garamond"/>
        </w:rPr>
        <w:t xml:space="preserve">another </w:t>
      </w:r>
      <w:r w:rsidR="001868C3" w:rsidRPr="00AC206A">
        <w:rPr>
          <w:rFonts w:ascii="Garamond" w:hAnsi="Garamond"/>
        </w:rPr>
        <w:t xml:space="preserve">post on </w:t>
      </w:r>
      <w:r>
        <w:rPr>
          <w:rFonts w:ascii="Garamond" w:hAnsi="Garamond"/>
        </w:rPr>
        <w:t>S</w:t>
      </w:r>
      <w:r w:rsidR="001868C3" w:rsidRPr="00AC206A">
        <w:rPr>
          <w:rFonts w:ascii="Garamond" w:hAnsi="Garamond"/>
        </w:rPr>
        <w:t>hotgun</w:t>
      </w:r>
      <w:r>
        <w:rPr>
          <w:rFonts w:ascii="Garamond" w:hAnsi="Garamond"/>
        </w:rPr>
        <w:t xml:space="preserve"> W</w:t>
      </w:r>
      <w:r w:rsidR="001868C3" w:rsidRPr="00AC206A">
        <w:rPr>
          <w:rFonts w:ascii="Garamond" w:hAnsi="Garamond"/>
        </w:rPr>
        <w:t>orld</w:t>
      </w:r>
      <w:r>
        <w:rPr>
          <w:rFonts w:ascii="Garamond" w:hAnsi="Garamond"/>
        </w:rPr>
        <w:t>’s forum</w:t>
      </w:r>
      <w:r w:rsidR="001868C3" w:rsidRPr="00AC206A">
        <w:rPr>
          <w:rFonts w:ascii="Garamond" w:hAnsi="Garamond"/>
        </w:rPr>
        <w:t xml:space="preserve"> encouraged individuals to become members of </w:t>
      </w:r>
      <w:r w:rsidR="00FC1F0D">
        <w:rPr>
          <w:rFonts w:ascii="Garamond" w:hAnsi="Garamond"/>
        </w:rPr>
        <w:t xml:space="preserve">the </w:t>
      </w:r>
      <w:r w:rsidR="001868C3" w:rsidRPr="00AC206A">
        <w:rPr>
          <w:rFonts w:ascii="Garamond" w:hAnsi="Garamond"/>
        </w:rPr>
        <w:t>Gun Owners of America (GOA), given that the GOA was granted injunctive relief from the rule change in the lawsuit that included relief for Texas, Louisiana, Mississippi, and Utah</w:t>
      </w:r>
      <w:r w:rsidR="006E4C70" w:rsidRPr="00AC206A">
        <w:rPr>
          <w:rFonts w:ascii="Garamond" w:hAnsi="Garamond"/>
        </w:rPr>
        <w:t xml:space="preserve"> </w:t>
      </w:r>
      <w:r w:rsidR="001868C3" w:rsidRPr="00AC206A">
        <w:rPr>
          <w:rFonts w:ascii="Garamond" w:hAnsi="Garamond"/>
        </w:rPr>
        <w:t xml:space="preserve">(top_prop 2024). Whether injunctive relief </w:t>
      </w:r>
      <w:proofErr w:type="gramStart"/>
      <w:r w:rsidR="001868C3" w:rsidRPr="00AC206A">
        <w:rPr>
          <w:rFonts w:ascii="Garamond" w:hAnsi="Garamond"/>
        </w:rPr>
        <w:t>actually extends</w:t>
      </w:r>
      <w:proofErr w:type="gramEnd"/>
      <w:r w:rsidR="001868C3" w:rsidRPr="00AC206A">
        <w:rPr>
          <w:rFonts w:ascii="Garamond" w:hAnsi="Garamond"/>
        </w:rPr>
        <w:t xml:space="preserve"> beyond the GOA to the individual members of the GOA is a legal question that is unclear as of this writing</w:t>
      </w:r>
      <w:r w:rsidR="005117A8" w:rsidRPr="00AC206A">
        <w:rPr>
          <w:rFonts w:ascii="Garamond" w:hAnsi="Garamond"/>
        </w:rPr>
        <w:t xml:space="preserve">. Nevertheless, </w:t>
      </w:r>
      <w:r w:rsidR="001868C3" w:rsidRPr="00AC206A">
        <w:rPr>
          <w:rFonts w:ascii="Garamond" w:hAnsi="Garamond"/>
        </w:rPr>
        <w:t xml:space="preserve">the post </w:t>
      </w:r>
      <w:r w:rsidR="005117A8" w:rsidRPr="00AC206A">
        <w:rPr>
          <w:rFonts w:ascii="Garamond" w:hAnsi="Garamond"/>
        </w:rPr>
        <w:t>highlights the rule change’s potentially limited deterrent effect.</w:t>
      </w:r>
      <w:r w:rsidR="00100955">
        <w:rPr>
          <w:rFonts w:ascii="Garamond" w:hAnsi="Garamond"/>
        </w:rPr>
        <w:t xml:space="preserve"> A long line of criminological research suggests that the certainty of punishment presents a stronger deterrent effect than severity (</w:t>
      </w:r>
      <w:r w:rsidR="00CA7F0A">
        <w:rPr>
          <w:rFonts w:ascii="Garamond" w:hAnsi="Garamond"/>
        </w:rPr>
        <w:t xml:space="preserve">Chalfin and McCrary 2017; </w:t>
      </w:r>
      <w:r w:rsidR="00FC4EBD">
        <w:rPr>
          <w:rFonts w:ascii="Garamond" w:hAnsi="Garamond"/>
        </w:rPr>
        <w:t>Nagin 2013</w:t>
      </w:r>
      <w:r w:rsidR="00100955">
        <w:rPr>
          <w:rFonts w:ascii="Garamond" w:hAnsi="Garamond"/>
        </w:rPr>
        <w:t xml:space="preserve">). Based on a multitude of factors, </w:t>
      </w:r>
      <w:r w:rsidR="00100955">
        <w:rPr>
          <w:rFonts w:ascii="Garamond" w:hAnsi="Garamond"/>
        </w:rPr>
        <w:lastRenderedPageBreak/>
        <w:t xml:space="preserve">including the granting of injunctive relief </w:t>
      </w:r>
      <w:r w:rsidR="00FC4EBD">
        <w:rPr>
          <w:rFonts w:ascii="Garamond" w:hAnsi="Garamond"/>
        </w:rPr>
        <w:t xml:space="preserve">to four states from having to implement the rule change and the perceived and perhaps real toothlessness of ATF to enforce regulations, </w:t>
      </w:r>
      <w:r w:rsidR="00100955">
        <w:rPr>
          <w:rFonts w:ascii="Garamond" w:hAnsi="Garamond"/>
        </w:rPr>
        <w:t xml:space="preserve">the likelihood of punishment for violating the </w:t>
      </w:r>
      <w:r w:rsidR="00FC4EBD">
        <w:rPr>
          <w:rFonts w:ascii="Garamond" w:hAnsi="Garamond"/>
        </w:rPr>
        <w:t xml:space="preserve">loophole </w:t>
      </w:r>
      <w:r w:rsidR="00100955">
        <w:rPr>
          <w:rFonts w:ascii="Garamond" w:hAnsi="Garamond"/>
        </w:rPr>
        <w:t xml:space="preserve">rule change is far from certain. </w:t>
      </w:r>
      <w:r w:rsidR="001868C3" w:rsidRPr="00AC206A">
        <w:rPr>
          <w:rFonts w:ascii="Garamond" w:hAnsi="Garamond"/>
        </w:rPr>
        <w:t xml:space="preserve"> </w:t>
      </w:r>
    </w:p>
    <w:p w14:paraId="58C07968" w14:textId="7DF7033D" w:rsidR="00136CA7" w:rsidRDefault="008642AB" w:rsidP="008642AB">
      <w:pPr>
        <w:spacing w:line="480" w:lineRule="auto"/>
        <w:ind w:firstLine="720"/>
        <w:jc w:val="both"/>
        <w:rPr>
          <w:rFonts w:ascii="Garamond" w:hAnsi="Garamond"/>
        </w:rPr>
      </w:pPr>
      <w:r>
        <w:rPr>
          <w:rFonts w:ascii="Garamond" w:hAnsi="Garamond" w:cstheme="minorHAnsi"/>
        </w:rPr>
        <w:t xml:space="preserve">While the lack of new FFLs </w:t>
      </w:r>
      <w:r w:rsidR="00FC1F0D">
        <w:rPr>
          <w:rFonts w:ascii="Garamond" w:hAnsi="Garamond" w:cstheme="minorHAnsi"/>
        </w:rPr>
        <w:t>or</w:t>
      </w:r>
      <w:r>
        <w:rPr>
          <w:rFonts w:ascii="Garamond" w:hAnsi="Garamond" w:cstheme="minorHAnsi"/>
        </w:rPr>
        <w:t xml:space="preserve"> a consistent increase in background checks may have been due to ineffective deterrence, a </w:t>
      </w:r>
      <w:r w:rsidR="0071386F">
        <w:rPr>
          <w:rFonts w:ascii="Garamond" w:hAnsi="Garamond" w:cstheme="minorHAnsi"/>
        </w:rPr>
        <w:t>third</w:t>
      </w:r>
      <w:r>
        <w:rPr>
          <w:rFonts w:ascii="Garamond" w:hAnsi="Garamond" w:cstheme="minorHAnsi"/>
        </w:rPr>
        <w:t xml:space="preserve"> explanation for our findings is </w:t>
      </w:r>
      <w:r w:rsidR="00B67EF4">
        <w:rPr>
          <w:rFonts w:ascii="Garamond" w:hAnsi="Garamond" w:cstheme="minorHAnsi"/>
        </w:rPr>
        <w:t>that few private sellers were</w:t>
      </w:r>
      <w:r>
        <w:rPr>
          <w:rFonts w:ascii="Garamond" w:hAnsi="Garamond" w:cstheme="minorHAnsi"/>
        </w:rPr>
        <w:t xml:space="preserve"> </w:t>
      </w:r>
      <w:proofErr w:type="gramStart"/>
      <w:r>
        <w:rPr>
          <w:rFonts w:ascii="Garamond" w:hAnsi="Garamond" w:cstheme="minorHAnsi"/>
        </w:rPr>
        <w:t>actually subject</w:t>
      </w:r>
      <w:proofErr w:type="gramEnd"/>
      <w:r>
        <w:rPr>
          <w:rFonts w:ascii="Garamond" w:hAnsi="Garamond" w:cstheme="minorHAnsi"/>
        </w:rPr>
        <w:t xml:space="preserve"> to the redefinition</w:t>
      </w:r>
      <w:r w:rsidR="00B67EF4">
        <w:rPr>
          <w:rFonts w:ascii="Garamond" w:hAnsi="Garamond" w:cstheme="minorHAnsi"/>
        </w:rPr>
        <w:t xml:space="preserve"> </w:t>
      </w:r>
      <w:r>
        <w:rPr>
          <w:rFonts w:ascii="Garamond" w:hAnsi="Garamond" w:cstheme="minorHAnsi"/>
        </w:rPr>
        <w:t xml:space="preserve">that is the foundation of the rule change. In other words, it could be that </w:t>
      </w:r>
      <w:proofErr w:type="gramStart"/>
      <w:r>
        <w:rPr>
          <w:rFonts w:ascii="Garamond" w:hAnsi="Garamond" w:cstheme="minorHAnsi"/>
        </w:rPr>
        <w:t>the vast majority of</w:t>
      </w:r>
      <w:proofErr w:type="gramEnd"/>
      <w:r>
        <w:rPr>
          <w:rFonts w:ascii="Garamond" w:hAnsi="Garamond" w:cstheme="minorHAnsi"/>
        </w:rPr>
        <w:t xml:space="preserve"> private sellers are not doing so to </w:t>
      </w:r>
      <w:r w:rsidRPr="006A79B9">
        <w:rPr>
          <w:rFonts w:ascii="Garamond" w:hAnsi="Garamond"/>
        </w:rPr>
        <w:t>“predominately earn a profit” through repetitive purchase and resale</w:t>
      </w:r>
      <w:r>
        <w:rPr>
          <w:rFonts w:ascii="Garamond" w:hAnsi="Garamond"/>
        </w:rPr>
        <w:t xml:space="preserve"> of firearms. Rather, most may be doing occasional transactions out of their private collection in which profit motive is not the predominant goal. Assessing this possibility is tricky given the severely limited data available to researchers and even the government on firearm transactions. </w:t>
      </w:r>
      <w:r w:rsidR="00136CA7">
        <w:rPr>
          <w:rFonts w:ascii="Garamond" w:hAnsi="Garamond"/>
        </w:rPr>
        <w:t xml:space="preserve">Perhaps one way to assess changes </w:t>
      </w:r>
      <w:proofErr w:type="gramStart"/>
      <w:r w:rsidR="00136CA7">
        <w:rPr>
          <w:rFonts w:ascii="Garamond" w:hAnsi="Garamond"/>
        </w:rPr>
        <w:t>in the nature of private</w:t>
      </w:r>
      <w:proofErr w:type="gramEnd"/>
      <w:r w:rsidR="00136CA7">
        <w:rPr>
          <w:rFonts w:ascii="Garamond" w:hAnsi="Garamond"/>
        </w:rPr>
        <w:t xml:space="preserve"> firearm selling is </w:t>
      </w:r>
      <w:r>
        <w:rPr>
          <w:rFonts w:ascii="Garamond" w:hAnsi="Garamond"/>
        </w:rPr>
        <w:t xml:space="preserve">to </w:t>
      </w:r>
      <w:r w:rsidR="00136CA7">
        <w:rPr>
          <w:rFonts w:ascii="Garamond" w:hAnsi="Garamond"/>
        </w:rPr>
        <w:t>examine trends in the types of sellers engaging in firearm s</w:t>
      </w:r>
      <w:r>
        <w:rPr>
          <w:rFonts w:ascii="Garamond" w:hAnsi="Garamond"/>
        </w:rPr>
        <w:t>ales</w:t>
      </w:r>
      <w:r w:rsidR="00136CA7">
        <w:rPr>
          <w:rFonts w:ascii="Garamond" w:hAnsi="Garamond"/>
        </w:rPr>
        <w:t xml:space="preserve"> online. </w:t>
      </w:r>
      <w:r w:rsidR="00B46D93">
        <w:rPr>
          <w:rFonts w:ascii="Garamond" w:hAnsi="Garamond"/>
        </w:rPr>
        <w:t>Future research should examine whether patterns of firearms for sale in the online marketplace by types of sellers (i.e., private vs. licensed) shifted following the rule change.</w:t>
      </w:r>
      <w:r>
        <w:rPr>
          <w:rFonts w:ascii="Garamond" w:hAnsi="Garamond"/>
        </w:rPr>
        <w:t xml:space="preserve"> For instance, were firearms for sale on online sites less likely to be available from private sellers than prior to the rule change, particularly in </w:t>
      </w:r>
      <w:r w:rsidR="00CB3240">
        <w:rPr>
          <w:rFonts w:ascii="Garamond" w:hAnsi="Garamond"/>
        </w:rPr>
        <w:t>treated states?</w:t>
      </w:r>
      <w:r>
        <w:rPr>
          <w:rFonts w:ascii="Garamond" w:hAnsi="Garamond"/>
        </w:rPr>
        <w:t xml:space="preserve"> </w:t>
      </w:r>
    </w:p>
    <w:p w14:paraId="212B9073" w14:textId="0674DE3F" w:rsidR="006C1C73" w:rsidRPr="006277A0" w:rsidRDefault="00CB3240" w:rsidP="00620904">
      <w:pPr>
        <w:spacing w:line="480" w:lineRule="auto"/>
        <w:jc w:val="both"/>
        <w:rPr>
          <w:rFonts w:ascii="Garamond" w:hAnsi="Garamond"/>
        </w:rPr>
      </w:pPr>
      <w:r>
        <w:rPr>
          <w:rFonts w:ascii="Garamond" w:hAnsi="Garamond"/>
        </w:rPr>
        <w:tab/>
      </w:r>
      <w:r w:rsidR="006C1C73" w:rsidRPr="006277A0">
        <w:rPr>
          <w:rFonts w:ascii="Garamond" w:hAnsi="Garamond"/>
        </w:rPr>
        <w:t>To conclude, the loophole rule change originated in a 2022 bipartisan act of Congress</w:t>
      </w:r>
      <w:r w:rsidR="006277A0" w:rsidRPr="006277A0">
        <w:rPr>
          <w:rFonts w:ascii="Garamond" w:hAnsi="Garamond"/>
        </w:rPr>
        <w:t xml:space="preserve"> that was </w:t>
      </w:r>
      <w:r w:rsidR="006C1C73" w:rsidRPr="006277A0">
        <w:rPr>
          <w:rFonts w:ascii="Garamond" w:hAnsi="Garamond"/>
        </w:rPr>
        <w:t>spurred by a Covid-era surge in violence. Yet its impact appears negligible. Whether this failure stemmed from the deeply polarized politics of gun regulation</w:t>
      </w:r>
      <w:r w:rsidR="006277A0" w:rsidRPr="006277A0">
        <w:rPr>
          <w:rFonts w:ascii="Garamond" w:hAnsi="Garamond"/>
        </w:rPr>
        <w:t>, the toothlessness of ATF,</w:t>
      </w:r>
      <w:r w:rsidR="006C1C73" w:rsidRPr="006277A0">
        <w:rPr>
          <w:rFonts w:ascii="Garamond" w:hAnsi="Garamond"/>
        </w:rPr>
        <w:t xml:space="preserve"> or from targeting </w:t>
      </w:r>
      <w:r w:rsidR="007303C0" w:rsidRPr="006277A0">
        <w:rPr>
          <w:rFonts w:ascii="Garamond" w:hAnsi="Garamond"/>
        </w:rPr>
        <w:t>to</w:t>
      </w:r>
      <w:r w:rsidR="006C1C73" w:rsidRPr="006277A0">
        <w:rPr>
          <w:rFonts w:ascii="Garamond" w:hAnsi="Garamond"/>
        </w:rPr>
        <w:t xml:space="preserve"> narrow a group of sellers remains unclear. </w:t>
      </w:r>
      <w:r w:rsidR="004B527F" w:rsidRPr="006277A0">
        <w:rPr>
          <w:rFonts w:ascii="Garamond" w:hAnsi="Garamond"/>
        </w:rPr>
        <w:t>Consequently</w:t>
      </w:r>
      <w:r w:rsidR="006277A0" w:rsidRPr="006277A0">
        <w:rPr>
          <w:rFonts w:ascii="Garamond" w:hAnsi="Garamond"/>
        </w:rPr>
        <w:t xml:space="preserve"> </w:t>
      </w:r>
      <w:r w:rsidR="006C1C73" w:rsidRPr="00C126FE">
        <w:rPr>
          <w:rFonts w:ascii="Garamond" w:hAnsi="Garamond"/>
        </w:rPr>
        <w:t>i</w:t>
      </w:r>
      <w:r w:rsidR="006277A0" w:rsidRPr="00C126FE">
        <w:rPr>
          <w:rFonts w:ascii="Garamond" w:hAnsi="Garamond"/>
        </w:rPr>
        <w:t>t</w:t>
      </w:r>
      <w:r w:rsidR="006C1C73" w:rsidRPr="00C126FE">
        <w:rPr>
          <w:rFonts w:ascii="Garamond" w:hAnsi="Garamond"/>
        </w:rPr>
        <w:t xml:space="preserve"> </w:t>
      </w:r>
      <w:r w:rsidR="006277A0" w:rsidRPr="00C126FE">
        <w:rPr>
          <w:rFonts w:ascii="Garamond" w:hAnsi="Garamond"/>
        </w:rPr>
        <w:t xml:space="preserve">seems </w:t>
      </w:r>
      <w:r w:rsidR="006C1C73" w:rsidRPr="00C126FE">
        <w:rPr>
          <w:rFonts w:ascii="Garamond" w:hAnsi="Garamond"/>
        </w:rPr>
        <w:t xml:space="preserve">unlikely </w:t>
      </w:r>
      <w:r w:rsidR="006277A0" w:rsidRPr="00C126FE">
        <w:rPr>
          <w:rFonts w:ascii="Garamond" w:hAnsi="Garamond"/>
        </w:rPr>
        <w:t xml:space="preserve">that the rule change </w:t>
      </w:r>
      <w:r w:rsidR="007303C0" w:rsidRPr="007303C0">
        <w:rPr>
          <w:rFonts w:ascii="Garamond" w:hAnsi="Garamond"/>
        </w:rPr>
        <w:t>has had</w:t>
      </w:r>
      <w:r w:rsidR="006277A0" w:rsidRPr="00C126FE">
        <w:rPr>
          <w:rFonts w:ascii="Garamond" w:hAnsi="Garamond"/>
        </w:rPr>
        <w:t xml:space="preserve"> any meaningful </w:t>
      </w:r>
      <w:r w:rsidR="006C1C73" w:rsidRPr="00C126FE">
        <w:rPr>
          <w:rFonts w:ascii="Garamond" w:hAnsi="Garamond"/>
        </w:rPr>
        <w:t xml:space="preserve">impact on </w:t>
      </w:r>
      <w:r w:rsidR="006277A0" w:rsidRPr="00C126FE">
        <w:rPr>
          <w:rFonts w:ascii="Garamond" w:hAnsi="Garamond"/>
        </w:rPr>
        <w:t>broader</w:t>
      </w:r>
      <w:r w:rsidR="006C1C73" w:rsidRPr="00C126FE">
        <w:rPr>
          <w:rFonts w:ascii="Garamond" w:hAnsi="Garamond"/>
        </w:rPr>
        <w:t xml:space="preserve"> outcomes </w:t>
      </w:r>
      <w:r w:rsidR="006277A0" w:rsidRPr="00C126FE">
        <w:rPr>
          <w:rFonts w:ascii="Garamond" w:hAnsi="Garamond"/>
        </w:rPr>
        <w:t>like</w:t>
      </w:r>
      <w:r w:rsidR="006C1C73" w:rsidRPr="00C126FE">
        <w:rPr>
          <w:rFonts w:ascii="Garamond" w:hAnsi="Garamond"/>
        </w:rPr>
        <w:t xml:space="preserve"> </w:t>
      </w:r>
      <w:r w:rsidR="006277A0" w:rsidRPr="00C126FE">
        <w:rPr>
          <w:rFonts w:ascii="Garamond" w:hAnsi="Garamond"/>
        </w:rPr>
        <w:t xml:space="preserve">firearm </w:t>
      </w:r>
      <w:r w:rsidR="006C1C73" w:rsidRPr="00C126FE">
        <w:rPr>
          <w:rFonts w:ascii="Garamond" w:hAnsi="Garamond"/>
        </w:rPr>
        <w:t>violence</w:t>
      </w:r>
      <w:r w:rsidR="006277A0" w:rsidRPr="00C126FE">
        <w:rPr>
          <w:rFonts w:ascii="Garamond" w:hAnsi="Garamond"/>
        </w:rPr>
        <w:t>.</w:t>
      </w:r>
    </w:p>
    <w:p w14:paraId="4306127C" w14:textId="77777777" w:rsidR="0057567E" w:rsidRPr="006A79B9" w:rsidRDefault="0057567E" w:rsidP="00120568">
      <w:pPr>
        <w:spacing w:line="480" w:lineRule="auto"/>
        <w:rPr>
          <w:rFonts w:ascii="Garamond" w:hAnsi="Garamond" w:cstheme="minorHAnsi"/>
          <w:b/>
          <w:bCs/>
          <w:smallCaps/>
        </w:rPr>
      </w:pPr>
      <w:r w:rsidRPr="006A79B9">
        <w:rPr>
          <w:rFonts w:ascii="Garamond" w:hAnsi="Garamond" w:cstheme="minorHAnsi"/>
          <w:b/>
          <w:bCs/>
          <w:smallCaps/>
        </w:rPr>
        <w:br w:type="page"/>
      </w:r>
    </w:p>
    <w:p w14:paraId="0B1CA436" w14:textId="199D76A7" w:rsidR="0057567E" w:rsidRPr="006A79B9" w:rsidRDefault="0057567E" w:rsidP="0057567E">
      <w:pPr>
        <w:spacing w:line="240" w:lineRule="auto"/>
        <w:jc w:val="both"/>
        <w:rPr>
          <w:rFonts w:ascii="Garamond" w:hAnsi="Garamond" w:cstheme="minorHAnsi"/>
          <w:b/>
          <w:bCs/>
          <w:smallCaps/>
        </w:rPr>
      </w:pPr>
      <w:r w:rsidRPr="006A79B9">
        <w:rPr>
          <w:rFonts w:ascii="Garamond" w:hAnsi="Garamond" w:cstheme="minorHAnsi"/>
          <w:b/>
          <w:bCs/>
          <w:smallCaps/>
        </w:rPr>
        <w:lastRenderedPageBreak/>
        <w:t>References</w:t>
      </w:r>
    </w:p>
    <w:p w14:paraId="06A3D637" w14:textId="77777777" w:rsidR="006E7800" w:rsidRPr="006A79B9" w:rsidRDefault="006E7800" w:rsidP="006E7800">
      <w:pPr>
        <w:spacing w:line="240" w:lineRule="auto"/>
        <w:rPr>
          <w:rFonts w:ascii="Garamond" w:eastAsia="Times New Roman" w:hAnsi="Garamond" w:cs="Times New Roman"/>
          <w:kern w:val="36"/>
        </w:rPr>
      </w:pPr>
    </w:p>
    <w:p w14:paraId="62779B32" w14:textId="513AC10A" w:rsidR="00796FD4" w:rsidRPr="00373487" w:rsidRDefault="00796FD4" w:rsidP="00796FD4">
      <w:pPr>
        <w:spacing w:line="240" w:lineRule="auto"/>
        <w:ind w:left="540" w:hanging="540"/>
        <w:rPr>
          <w:rFonts w:ascii="Garamond" w:eastAsia="Times New Roman" w:hAnsi="Garamond" w:cs="Times New Roman"/>
          <w:kern w:val="36"/>
        </w:rPr>
      </w:pPr>
      <w:r w:rsidRPr="00373487">
        <w:rPr>
          <w:rFonts w:ascii="Garamond" w:hAnsi="Garamond"/>
        </w:rPr>
        <w:t>Callaway, B</w:t>
      </w:r>
      <w:r w:rsidR="005E4527" w:rsidRPr="00373487">
        <w:rPr>
          <w:rFonts w:ascii="Garamond" w:hAnsi="Garamond"/>
        </w:rPr>
        <w:t>.</w:t>
      </w:r>
      <w:r w:rsidRPr="00373487">
        <w:rPr>
          <w:rFonts w:ascii="Garamond" w:hAnsi="Garamond"/>
        </w:rPr>
        <w:t xml:space="preserve"> and P</w:t>
      </w:r>
      <w:r w:rsidR="005E4527" w:rsidRPr="00373487">
        <w:rPr>
          <w:rFonts w:ascii="Garamond" w:hAnsi="Garamond"/>
        </w:rPr>
        <w:t>.</w:t>
      </w:r>
      <w:r w:rsidRPr="00373487">
        <w:rPr>
          <w:rFonts w:ascii="Garamond" w:hAnsi="Garamond"/>
        </w:rPr>
        <w:t xml:space="preserve">H.C. Sant’Anna. </w:t>
      </w:r>
      <w:r w:rsidRPr="00373487">
        <w:rPr>
          <w:rFonts w:ascii="Garamond" w:eastAsia="Times New Roman" w:hAnsi="Garamond" w:cs="Times New Roman"/>
          <w:kern w:val="36"/>
        </w:rPr>
        <w:t xml:space="preserve">2021. </w:t>
      </w:r>
      <w:r w:rsidRPr="00373487">
        <w:rPr>
          <w:rFonts w:ascii="Garamond" w:hAnsi="Garamond"/>
        </w:rPr>
        <w:t>“Difference-in-</w:t>
      </w:r>
      <w:r w:rsidRPr="00373487">
        <w:rPr>
          <w:rFonts w:ascii="Garamond" w:eastAsia="Times New Roman" w:hAnsi="Garamond" w:cs="Times New Roman"/>
          <w:kern w:val="36"/>
        </w:rPr>
        <w:t>D</w:t>
      </w:r>
      <w:r w:rsidRPr="00373487">
        <w:rPr>
          <w:rFonts w:ascii="Garamond" w:hAnsi="Garamond"/>
        </w:rPr>
        <w:t xml:space="preserve">ifferences with </w:t>
      </w:r>
      <w:r w:rsidRPr="00373487">
        <w:rPr>
          <w:rFonts w:ascii="Garamond" w:eastAsia="Times New Roman" w:hAnsi="Garamond" w:cs="Times New Roman"/>
          <w:kern w:val="36"/>
        </w:rPr>
        <w:t>M</w:t>
      </w:r>
      <w:r w:rsidRPr="00373487">
        <w:rPr>
          <w:rFonts w:ascii="Garamond" w:hAnsi="Garamond"/>
        </w:rPr>
        <w:t xml:space="preserve">ultiple </w:t>
      </w:r>
      <w:r w:rsidRPr="00373487">
        <w:rPr>
          <w:rFonts w:ascii="Garamond" w:eastAsia="Times New Roman" w:hAnsi="Garamond" w:cs="Times New Roman"/>
          <w:kern w:val="36"/>
        </w:rPr>
        <w:t>T</w:t>
      </w:r>
      <w:r w:rsidRPr="00373487">
        <w:rPr>
          <w:rFonts w:ascii="Garamond" w:hAnsi="Garamond"/>
        </w:rPr>
        <w:t xml:space="preserve">ime </w:t>
      </w:r>
      <w:r w:rsidRPr="00373487">
        <w:rPr>
          <w:rFonts w:ascii="Garamond" w:eastAsia="Times New Roman" w:hAnsi="Garamond" w:cs="Times New Roman"/>
          <w:kern w:val="36"/>
        </w:rPr>
        <w:t>P</w:t>
      </w:r>
      <w:r w:rsidRPr="00373487">
        <w:rPr>
          <w:rFonts w:ascii="Garamond" w:hAnsi="Garamond"/>
        </w:rPr>
        <w:t xml:space="preserve">eriods.” </w:t>
      </w:r>
      <w:r w:rsidRPr="00373487">
        <w:rPr>
          <w:rFonts w:ascii="Garamond" w:hAnsi="Garamond"/>
          <w:i/>
          <w:iCs/>
        </w:rPr>
        <w:t>Journal of Econometrics</w:t>
      </w:r>
      <w:r w:rsidRPr="00373487">
        <w:rPr>
          <w:rFonts w:ascii="Garamond" w:hAnsi="Garamond"/>
        </w:rPr>
        <w:t xml:space="preserve"> 225</w:t>
      </w:r>
      <w:r w:rsidRPr="00373487">
        <w:rPr>
          <w:rFonts w:ascii="Garamond" w:eastAsia="Times New Roman" w:hAnsi="Garamond" w:cs="Times New Roman"/>
          <w:kern w:val="36"/>
        </w:rPr>
        <w:t>(</w:t>
      </w:r>
      <w:r w:rsidRPr="00373487">
        <w:rPr>
          <w:rFonts w:ascii="Garamond" w:hAnsi="Garamond"/>
        </w:rPr>
        <w:t>2</w:t>
      </w:r>
      <w:r w:rsidRPr="00373487">
        <w:rPr>
          <w:rFonts w:ascii="Garamond" w:eastAsia="Times New Roman" w:hAnsi="Garamond" w:cs="Times New Roman"/>
          <w:kern w:val="36"/>
        </w:rPr>
        <w:t xml:space="preserve">): </w:t>
      </w:r>
      <w:r w:rsidRPr="00373487">
        <w:rPr>
          <w:rFonts w:ascii="Garamond" w:hAnsi="Garamond"/>
        </w:rPr>
        <w:t>200</w:t>
      </w:r>
      <w:r w:rsidRPr="00373487">
        <w:rPr>
          <w:rFonts w:ascii="Garamond" w:eastAsia="Times New Roman" w:hAnsi="Garamond" w:cs="Times New Roman"/>
          <w:kern w:val="36"/>
        </w:rPr>
        <w:t>–</w:t>
      </w:r>
      <w:r w:rsidRPr="00373487">
        <w:rPr>
          <w:rFonts w:ascii="Garamond" w:hAnsi="Garamond"/>
        </w:rPr>
        <w:t>230</w:t>
      </w:r>
      <w:r w:rsidRPr="00373487">
        <w:rPr>
          <w:rFonts w:ascii="Garamond" w:eastAsia="Times New Roman" w:hAnsi="Garamond" w:cs="Times New Roman"/>
          <w:kern w:val="36"/>
        </w:rPr>
        <w:t xml:space="preserve">. </w:t>
      </w:r>
      <w:hyperlink r:id="rId18" w:history="1">
        <w:r w:rsidRPr="00373487">
          <w:rPr>
            <w:rStyle w:val="Hyperlink"/>
            <w:rFonts w:ascii="Garamond" w:eastAsia="Times New Roman" w:hAnsi="Garamond" w:cs="Times New Roman"/>
            <w:kern w:val="36"/>
          </w:rPr>
          <w:t>https://doi.org/10.1016/j.jeconom.2020.12.001</w:t>
        </w:r>
      </w:hyperlink>
      <w:r w:rsidR="005E4527" w:rsidRPr="00373487">
        <w:rPr>
          <w:rFonts w:ascii="Garamond" w:hAnsi="Garamond"/>
        </w:rPr>
        <w:t>.</w:t>
      </w:r>
    </w:p>
    <w:p w14:paraId="77FEDBD4" w14:textId="33A68AFC" w:rsidR="00B76184" w:rsidRPr="00373487" w:rsidRDefault="00B76184" w:rsidP="00B76184">
      <w:pPr>
        <w:spacing w:line="240" w:lineRule="auto"/>
        <w:ind w:left="540" w:hanging="540"/>
        <w:rPr>
          <w:rStyle w:val="Hyperlink"/>
          <w:rFonts w:ascii="Garamond" w:eastAsia="Times New Roman" w:hAnsi="Garamond" w:cs="Times New Roman"/>
          <w:i/>
          <w:iCs/>
          <w:color w:val="auto"/>
          <w:u w:val="none"/>
        </w:rPr>
      </w:pPr>
      <w:r w:rsidRPr="00373487">
        <w:rPr>
          <w:rFonts w:ascii="Garamond" w:eastAsia="Times New Roman" w:hAnsi="Garamond" w:cs="Times New Roman"/>
        </w:rPr>
        <w:t>Chalfin, A</w:t>
      </w:r>
      <w:r w:rsidR="005E4527" w:rsidRPr="00373487">
        <w:rPr>
          <w:rFonts w:ascii="Garamond" w:eastAsia="Times New Roman" w:hAnsi="Garamond" w:cs="Times New Roman"/>
        </w:rPr>
        <w:t>.</w:t>
      </w:r>
      <w:r w:rsidRPr="00373487">
        <w:rPr>
          <w:rFonts w:ascii="Garamond" w:eastAsia="Times New Roman" w:hAnsi="Garamond" w:cs="Times New Roman"/>
        </w:rPr>
        <w:t xml:space="preserve"> and J</w:t>
      </w:r>
      <w:r w:rsidR="005E4527" w:rsidRPr="00373487">
        <w:rPr>
          <w:rFonts w:ascii="Garamond" w:eastAsia="Times New Roman" w:hAnsi="Garamond" w:cs="Times New Roman"/>
        </w:rPr>
        <w:t>.</w:t>
      </w:r>
      <w:r w:rsidR="007609D8">
        <w:rPr>
          <w:rFonts w:ascii="Garamond" w:eastAsia="Times New Roman" w:hAnsi="Garamond" w:cs="Times New Roman"/>
        </w:rPr>
        <w:t xml:space="preserve"> </w:t>
      </w:r>
      <w:r w:rsidRPr="00373487">
        <w:rPr>
          <w:rFonts w:ascii="Garamond" w:eastAsia="Times New Roman" w:hAnsi="Garamond" w:cs="Times New Roman"/>
        </w:rPr>
        <w:t xml:space="preserve">McCrary. 2017. “Criminal Deterrence: A Review of the Literature.” </w:t>
      </w:r>
      <w:r w:rsidRPr="00373487">
        <w:rPr>
          <w:rFonts w:ascii="Garamond" w:eastAsia="Times New Roman" w:hAnsi="Garamond" w:cs="Times New Roman"/>
          <w:i/>
          <w:iCs/>
        </w:rPr>
        <w:t>Journal of Economic Literature</w:t>
      </w:r>
      <w:r w:rsidRPr="00373487">
        <w:rPr>
          <w:rFonts w:ascii="Garamond" w:eastAsia="Times New Roman" w:hAnsi="Garamond" w:cs="Times New Roman"/>
        </w:rPr>
        <w:t xml:space="preserve"> 55(1): 5–48.</w:t>
      </w:r>
      <w:r w:rsidRPr="00373487">
        <w:rPr>
          <w:rFonts w:ascii="Garamond" w:hAnsi="Garamond"/>
          <w:color w:val="353C3F"/>
          <w:shd w:val="clear" w:color="auto" w:fill="FFFFFF"/>
        </w:rPr>
        <w:t xml:space="preserve"> </w:t>
      </w:r>
      <w:hyperlink r:id="rId19" w:history="1">
        <w:r w:rsidRPr="00373487">
          <w:rPr>
            <w:rStyle w:val="Hyperlink"/>
            <w:rFonts w:ascii="Garamond" w:eastAsia="Times New Roman" w:hAnsi="Garamond" w:cs="Times New Roman"/>
          </w:rPr>
          <w:t>https://doi.org/10.1257/jel.20141147</w:t>
        </w:r>
      </w:hyperlink>
      <w:r w:rsidRPr="00373487">
        <w:rPr>
          <w:rFonts w:ascii="Garamond" w:eastAsia="Times New Roman" w:hAnsi="Garamond" w:cs="Times New Roman"/>
        </w:rPr>
        <w:t>.</w:t>
      </w:r>
    </w:p>
    <w:p w14:paraId="0DA862AD" w14:textId="5FB5A557" w:rsidR="0057567E" w:rsidRPr="00373487" w:rsidRDefault="0057567E" w:rsidP="0049036D">
      <w:pPr>
        <w:spacing w:line="240" w:lineRule="auto"/>
        <w:ind w:left="540" w:hanging="540"/>
        <w:rPr>
          <w:rFonts w:ascii="Garamond" w:eastAsia="Times New Roman" w:hAnsi="Garamond" w:cs="Times New Roman"/>
          <w:kern w:val="36"/>
        </w:rPr>
      </w:pPr>
      <w:r w:rsidRPr="00373487">
        <w:rPr>
          <w:rFonts w:ascii="Garamond" w:eastAsia="Times New Roman" w:hAnsi="Garamond" w:cs="Times New Roman"/>
          <w:kern w:val="36"/>
        </w:rPr>
        <w:t>Duggan, M</w:t>
      </w:r>
      <w:r w:rsidR="005E4527" w:rsidRPr="00373487">
        <w:rPr>
          <w:rFonts w:ascii="Garamond" w:eastAsia="Times New Roman" w:hAnsi="Garamond" w:cs="Times New Roman"/>
          <w:kern w:val="36"/>
        </w:rPr>
        <w:t>.</w:t>
      </w:r>
      <w:r w:rsidRPr="00373487">
        <w:rPr>
          <w:rFonts w:ascii="Garamond" w:eastAsia="Times New Roman" w:hAnsi="Garamond" w:cs="Times New Roman"/>
          <w:kern w:val="36"/>
        </w:rPr>
        <w:t>R</w:t>
      </w:r>
      <w:r w:rsidR="005E4527" w:rsidRPr="00373487">
        <w:rPr>
          <w:rFonts w:ascii="Garamond" w:eastAsia="Times New Roman" w:hAnsi="Garamond" w:cs="Times New Roman"/>
          <w:kern w:val="36"/>
        </w:rPr>
        <w:t>.</w:t>
      </w:r>
      <w:r w:rsidRPr="00373487">
        <w:rPr>
          <w:rFonts w:ascii="Garamond" w:eastAsia="Times New Roman" w:hAnsi="Garamond" w:cs="Times New Roman"/>
          <w:kern w:val="36"/>
        </w:rPr>
        <w:t xml:space="preserve"> Hjalmarsson, and B</w:t>
      </w:r>
      <w:r w:rsidR="005E4527" w:rsidRPr="00373487">
        <w:rPr>
          <w:rFonts w:ascii="Garamond" w:eastAsia="Times New Roman" w:hAnsi="Garamond" w:cs="Times New Roman"/>
          <w:kern w:val="36"/>
        </w:rPr>
        <w:t>.</w:t>
      </w:r>
      <w:r w:rsidRPr="00373487">
        <w:rPr>
          <w:rFonts w:ascii="Garamond" w:eastAsia="Times New Roman" w:hAnsi="Garamond" w:cs="Times New Roman"/>
          <w:kern w:val="36"/>
        </w:rPr>
        <w:t xml:space="preserve">A. Jacob. 2011. “The Short-Term and Localized Effect of Gun Shows: Evidence from California and Texas.” </w:t>
      </w:r>
      <w:r w:rsidRPr="00373487">
        <w:rPr>
          <w:rFonts w:ascii="Garamond" w:eastAsia="Times New Roman" w:hAnsi="Garamond" w:cs="Times New Roman"/>
          <w:i/>
          <w:iCs/>
          <w:kern w:val="36"/>
        </w:rPr>
        <w:t>The Review of Economics and Statistics</w:t>
      </w:r>
      <w:r w:rsidRPr="00373487">
        <w:rPr>
          <w:rFonts w:ascii="Garamond" w:eastAsia="Times New Roman" w:hAnsi="Garamond" w:cs="Times New Roman"/>
          <w:kern w:val="36"/>
        </w:rPr>
        <w:t xml:space="preserve"> 93(3): 786–799. </w:t>
      </w:r>
      <w:hyperlink r:id="rId20" w:tgtFrame="_blank" w:history="1">
        <w:r w:rsidRPr="00ED484B">
          <w:rPr>
            <w:rStyle w:val="Hyperlink"/>
            <w:rFonts w:ascii="Garamond" w:hAnsi="Garamond"/>
          </w:rPr>
          <w:t>https://doi.org/10.1162/REST_a_00120</w:t>
        </w:r>
      </w:hyperlink>
      <w:r w:rsidR="005E4527" w:rsidRPr="00373487">
        <w:rPr>
          <w:rFonts w:ascii="Garamond" w:hAnsi="Garamond"/>
        </w:rPr>
        <w:t>.</w:t>
      </w:r>
    </w:p>
    <w:p w14:paraId="5EDFEC40" w14:textId="367F8671" w:rsidR="0057567E" w:rsidRPr="00373487" w:rsidRDefault="0057567E" w:rsidP="0049036D">
      <w:pPr>
        <w:spacing w:line="240" w:lineRule="auto"/>
        <w:ind w:left="540" w:hanging="540"/>
        <w:rPr>
          <w:rFonts w:ascii="Garamond" w:eastAsia="Times New Roman" w:hAnsi="Garamond" w:cs="Times New Roman"/>
          <w:kern w:val="36"/>
        </w:rPr>
      </w:pPr>
      <w:r w:rsidRPr="00373487">
        <w:rPr>
          <w:rFonts w:ascii="Garamond" w:eastAsia="Times New Roman" w:hAnsi="Garamond" w:cs="Times New Roman"/>
          <w:kern w:val="36"/>
        </w:rPr>
        <w:t xml:space="preserve">Everytown for Gun Safety. 2024. “Background Checks on All Gun Sales.” </w:t>
      </w:r>
      <w:hyperlink r:id="rId21" w:history="1">
        <w:r w:rsidRPr="00ED484B">
          <w:rPr>
            <w:rStyle w:val="Hyperlink"/>
            <w:rFonts w:ascii="Garamond" w:hAnsi="Garamond"/>
          </w:rPr>
          <w:t>https://www.everytown.org/solutions/background-checks/</w:t>
        </w:r>
      </w:hyperlink>
      <w:r w:rsidR="005E4527" w:rsidRPr="00373487">
        <w:rPr>
          <w:rFonts w:ascii="Garamond" w:hAnsi="Garamond"/>
        </w:rPr>
        <w:t>.</w:t>
      </w:r>
    </w:p>
    <w:p w14:paraId="2AB61545" w14:textId="1EDD9A92" w:rsidR="0057567E" w:rsidRPr="00373487" w:rsidRDefault="0057567E" w:rsidP="0049036D">
      <w:pPr>
        <w:spacing w:line="240" w:lineRule="auto"/>
        <w:ind w:left="540" w:hanging="540"/>
        <w:rPr>
          <w:rFonts w:ascii="Garamond" w:hAnsi="Garamond"/>
          <w:u w:val="single"/>
        </w:rPr>
      </w:pPr>
      <w:r w:rsidRPr="00373487">
        <w:rPr>
          <w:rFonts w:ascii="Garamond" w:hAnsi="Garamond"/>
        </w:rPr>
        <w:t xml:space="preserve">Federal Register. 2024. “Definition of ‘Engaged in the Business’ as a Dealer in Firearms.” Federal Register 89:77 (April 19, 2024) p. 28968. </w:t>
      </w:r>
      <w:hyperlink r:id="rId22" w:history="1">
        <w:r w:rsidRPr="00ED484B">
          <w:rPr>
            <w:rStyle w:val="Hyperlink"/>
            <w:rFonts w:ascii="Garamond" w:hAnsi="Garamond"/>
          </w:rPr>
          <w:t>https://www.govinfo.gov/content/pkg/FR-2024-04-19/pdf/2024-07838.pdf</w:t>
        </w:r>
      </w:hyperlink>
      <w:r w:rsidR="005E4527" w:rsidRPr="00373487">
        <w:rPr>
          <w:rFonts w:ascii="Garamond" w:hAnsi="Garamond"/>
        </w:rPr>
        <w:t>.</w:t>
      </w:r>
    </w:p>
    <w:p w14:paraId="0637BE6A" w14:textId="6454A8D3" w:rsidR="00EF1A92" w:rsidRPr="00373487" w:rsidRDefault="0071386F" w:rsidP="00EF1A92">
      <w:pPr>
        <w:spacing w:line="240" w:lineRule="auto"/>
        <w:ind w:left="540" w:hanging="540"/>
        <w:rPr>
          <w:rFonts w:ascii="Garamond" w:hAnsi="Garamond"/>
        </w:rPr>
      </w:pPr>
      <w:r w:rsidRPr="00373487">
        <w:rPr>
          <w:rFonts w:ascii="Garamond" w:hAnsi="Garamond"/>
        </w:rPr>
        <w:t>johnnygalt2019. 2024,</w:t>
      </w:r>
      <w:r w:rsidR="00EF1A92" w:rsidRPr="00373487">
        <w:rPr>
          <w:rFonts w:ascii="Garamond" w:hAnsi="Garamond"/>
        </w:rPr>
        <w:t xml:space="preserve"> June 7.</w:t>
      </w:r>
      <w:r w:rsidRPr="00373487">
        <w:rPr>
          <w:rFonts w:ascii="Garamond" w:hAnsi="Garamond"/>
        </w:rPr>
        <w:t xml:space="preserve"> </w:t>
      </w:r>
      <w:r w:rsidR="00EF1A92" w:rsidRPr="00373487">
        <w:rPr>
          <w:rFonts w:ascii="Garamond" w:hAnsi="Garamond"/>
        </w:rPr>
        <w:t xml:space="preserve">Engaged in the business. [Online forum post]. Reddit r/progun. </w:t>
      </w:r>
      <w:hyperlink r:id="rId23" w:history="1">
        <w:r w:rsidR="00EF1A92" w:rsidRPr="00373487">
          <w:rPr>
            <w:rStyle w:val="Hyperlink"/>
            <w:rFonts w:ascii="Garamond" w:hAnsi="Garamond"/>
          </w:rPr>
          <w:t>https://www.reddit.com/r/progun/comments/1dap73r/comment/l7lv5sc/</w:t>
        </w:r>
      </w:hyperlink>
      <w:r w:rsidR="005E4527" w:rsidRPr="00373487">
        <w:rPr>
          <w:rFonts w:ascii="Garamond" w:hAnsi="Garamond"/>
        </w:rPr>
        <w:t>.</w:t>
      </w:r>
    </w:p>
    <w:p w14:paraId="4F019BBF" w14:textId="04C3BDCA" w:rsidR="00B475B9" w:rsidRPr="00373487" w:rsidRDefault="00B475B9" w:rsidP="00B475B9">
      <w:pPr>
        <w:spacing w:line="240" w:lineRule="auto"/>
        <w:ind w:left="540" w:hanging="540"/>
        <w:rPr>
          <w:rFonts w:ascii="Garamond" w:hAnsi="Garamond"/>
        </w:rPr>
      </w:pPr>
      <w:r w:rsidRPr="00373487">
        <w:rPr>
          <w:rFonts w:ascii="Garamond" w:hAnsi="Garamond"/>
        </w:rPr>
        <w:t xml:space="preserve">kknurick. 2024, August 6. Final Rule ATF “Engaged in Business.” [Online forum post]. Shotgun World. </w:t>
      </w:r>
      <w:hyperlink r:id="rId24" w:history="1">
        <w:r w:rsidRPr="00373487">
          <w:rPr>
            <w:rStyle w:val="Hyperlink"/>
            <w:rFonts w:ascii="Garamond" w:hAnsi="Garamond"/>
          </w:rPr>
          <w:t>https://www.shotgunworld.com/threads/final-rule-atf-engaged-in-business.570192/</w:t>
        </w:r>
      </w:hyperlink>
      <w:r w:rsidR="005E4527" w:rsidRPr="00373487">
        <w:rPr>
          <w:rFonts w:ascii="Garamond" w:hAnsi="Garamond"/>
        </w:rPr>
        <w:t>.</w:t>
      </w:r>
    </w:p>
    <w:p w14:paraId="1EB46E92" w14:textId="1B9A2D2C" w:rsidR="007B3A9E" w:rsidRPr="00373487" w:rsidRDefault="007B3A9E" w:rsidP="0049036D">
      <w:pPr>
        <w:spacing w:line="240" w:lineRule="auto"/>
        <w:ind w:left="540" w:hanging="540"/>
        <w:rPr>
          <w:rFonts w:ascii="Garamond" w:eastAsia="Times New Roman" w:hAnsi="Garamond" w:cs="Times New Roman"/>
        </w:rPr>
      </w:pPr>
      <w:r w:rsidRPr="00373487">
        <w:rPr>
          <w:rFonts w:ascii="Garamond" w:eastAsia="Times New Roman" w:hAnsi="Garamond" w:cs="Times New Roman"/>
        </w:rPr>
        <w:t>McCourt</w:t>
      </w:r>
      <w:r w:rsidR="00247604" w:rsidRPr="00373487">
        <w:rPr>
          <w:rFonts w:ascii="Garamond" w:eastAsia="Times New Roman" w:hAnsi="Garamond" w:cs="Times New Roman"/>
        </w:rPr>
        <w:t>,</w:t>
      </w:r>
      <w:r w:rsidRPr="00373487">
        <w:rPr>
          <w:rFonts w:ascii="Garamond" w:eastAsia="Times New Roman" w:hAnsi="Garamond" w:cs="Times New Roman"/>
        </w:rPr>
        <w:t xml:space="preserve"> A</w:t>
      </w:r>
      <w:r w:rsidR="005E4527" w:rsidRPr="00373487">
        <w:rPr>
          <w:rFonts w:ascii="Garamond" w:eastAsia="Times New Roman" w:hAnsi="Garamond" w:cs="Times New Roman"/>
        </w:rPr>
        <w:t>.</w:t>
      </w:r>
      <w:r w:rsidRPr="00373487">
        <w:rPr>
          <w:rFonts w:ascii="Garamond" w:eastAsia="Times New Roman" w:hAnsi="Garamond" w:cs="Times New Roman"/>
        </w:rPr>
        <w:t>D., C</w:t>
      </w:r>
      <w:r w:rsidR="005E4527" w:rsidRPr="00373487">
        <w:rPr>
          <w:rFonts w:ascii="Garamond" w:eastAsia="Times New Roman" w:hAnsi="Garamond" w:cs="Times New Roman"/>
        </w:rPr>
        <w:t>.</w:t>
      </w:r>
      <w:r w:rsidRPr="00373487">
        <w:rPr>
          <w:rFonts w:ascii="Garamond" w:eastAsia="Times New Roman" w:hAnsi="Garamond" w:cs="Times New Roman"/>
        </w:rPr>
        <w:t>K. Crifasi, E</w:t>
      </w:r>
      <w:r w:rsidR="005E4527" w:rsidRPr="00373487">
        <w:rPr>
          <w:rFonts w:ascii="Garamond" w:eastAsia="Times New Roman" w:hAnsi="Garamond" w:cs="Times New Roman"/>
        </w:rPr>
        <w:t>.</w:t>
      </w:r>
      <w:r w:rsidRPr="00373487">
        <w:rPr>
          <w:rFonts w:ascii="Garamond" w:eastAsia="Times New Roman" w:hAnsi="Garamond" w:cs="Times New Roman"/>
        </w:rPr>
        <w:t>A. Stuart, J</w:t>
      </w:r>
      <w:r w:rsidR="005E4527" w:rsidRPr="00373487">
        <w:rPr>
          <w:rFonts w:ascii="Garamond" w:eastAsia="Times New Roman" w:hAnsi="Garamond" w:cs="Times New Roman"/>
        </w:rPr>
        <w:t>.</w:t>
      </w:r>
      <w:r w:rsidRPr="00373487">
        <w:rPr>
          <w:rFonts w:ascii="Garamond" w:eastAsia="Times New Roman" w:hAnsi="Garamond" w:cs="Times New Roman"/>
        </w:rPr>
        <w:t>S. Vernick, R</w:t>
      </w:r>
      <w:r w:rsidR="005E4527" w:rsidRPr="00373487">
        <w:rPr>
          <w:rFonts w:ascii="Garamond" w:eastAsia="Times New Roman" w:hAnsi="Garamond" w:cs="Times New Roman"/>
        </w:rPr>
        <w:t>.</w:t>
      </w:r>
      <w:r w:rsidRPr="00373487">
        <w:rPr>
          <w:rFonts w:ascii="Garamond" w:eastAsia="Times New Roman" w:hAnsi="Garamond" w:cs="Times New Roman"/>
        </w:rPr>
        <w:t>M. C. Kagawa, G</w:t>
      </w:r>
      <w:r w:rsidR="005E4527" w:rsidRPr="00373487">
        <w:rPr>
          <w:rFonts w:ascii="Garamond" w:eastAsia="Times New Roman" w:hAnsi="Garamond" w:cs="Times New Roman"/>
        </w:rPr>
        <w:t>.</w:t>
      </w:r>
      <w:r w:rsidRPr="00373487">
        <w:rPr>
          <w:rFonts w:ascii="Garamond" w:eastAsia="Times New Roman" w:hAnsi="Garamond" w:cs="Times New Roman"/>
        </w:rPr>
        <w:t>J. Wintemute, and D</w:t>
      </w:r>
      <w:r w:rsidR="005E4527" w:rsidRPr="00373487">
        <w:rPr>
          <w:rFonts w:ascii="Garamond" w:eastAsia="Times New Roman" w:hAnsi="Garamond" w:cs="Times New Roman"/>
        </w:rPr>
        <w:t>.</w:t>
      </w:r>
      <w:r w:rsidRPr="00373487">
        <w:rPr>
          <w:rFonts w:ascii="Garamond" w:eastAsia="Times New Roman" w:hAnsi="Garamond" w:cs="Times New Roman"/>
        </w:rPr>
        <w:t xml:space="preserve">W. Webster. 2020. “Purchaser Licensing, Point-of-Sale Background Check Laws, and Firearm Homicide and Suicide in 4 US states, 1985-2017.” </w:t>
      </w:r>
      <w:r w:rsidRPr="00373487">
        <w:rPr>
          <w:rFonts w:ascii="Garamond" w:eastAsia="Times New Roman" w:hAnsi="Garamond" w:cs="Times New Roman"/>
          <w:i/>
          <w:iCs/>
        </w:rPr>
        <w:t>American Journal of Public Health</w:t>
      </w:r>
      <w:r w:rsidRPr="00373487">
        <w:rPr>
          <w:rFonts w:ascii="Garamond" w:eastAsia="Times New Roman" w:hAnsi="Garamond" w:cs="Times New Roman"/>
        </w:rPr>
        <w:t xml:space="preserve"> 110(10): 1546–1552. </w:t>
      </w:r>
      <w:hyperlink r:id="rId25" w:history="1">
        <w:r w:rsidRPr="00ED484B">
          <w:rPr>
            <w:rStyle w:val="Hyperlink"/>
            <w:rFonts w:ascii="Garamond" w:hAnsi="Garamond"/>
          </w:rPr>
          <w:t>https://doi.org/10.2105/AJPH.2020.305822</w:t>
        </w:r>
      </w:hyperlink>
      <w:r w:rsidRPr="00373487">
        <w:rPr>
          <w:rFonts w:ascii="Garamond" w:eastAsia="Times New Roman" w:hAnsi="Garamond" w:cs="Times New Roman"/>
        </w:rPr>
        <w:t>.</w:t>
      </w:r>
    </w:p>
    <w:p w14:paraId="5CE93FC3" w14:textId="62C46F3E" w:rsidR="0057567E" w:rsidRPr="00373487" w:rsidRDefault="0057567E" w:rsidP="0049036D">
      <w:pPr>
        <w:spacing w:line="240" w:lineRule="auto"/>
        <w:ind w:left="540" w:hanging="540"/>
        <w:rPr>
          <w:rFonts w:ascii="Garamond" w:hAnsi="Garamond"/>
        </w:rPr>
      </w:pPr>
      <w:r w:rsidRPr="00373487">
        <w:rPr>
          <w:rFonts w:ascii="Garamond" w:eastAsia="Times New Roman" w:hAnsi="Garamond" w:cs="Times New Roman"/>
        </w:rPr>
        <w:t>Miller, M</w:t>
      </w:r>
      <w:r w:rsidR="005E4527" w:rsidRPr="00373487">
        <w:rPr>
          <w:rFonts w:ascii="Garamond" w:eastAsia="Times New Roman" w:hAnsi="Garamond" w:cs="Times New Roman"/>
        </w:rPr>
        <w:t>.</w:t>
      </w:r>
      <w:r w:rsidRPr="00373487">
        <w:rPr>
          <w:rFonts w:ascii="Garamond" w:eastAsia="Times New Roman" w:hAnsi="Garamond" w:cs="Times New Roman"/>
        </w:rPr>
        <w:t>, L</w:t>
      </w:r>
      <w:r w:rsidR="005E4527" w:rsidRPr="00373487">
        <w:rPr>
          <w:rFonts w:ascii="Garamond" w:eastAsia="Times New Roman" w:hAnsi="Garamond" w:cs="Times New Roman"/>
        </w:rPr>
        <w:t>.</w:t>
      </w:r>
      <w:r w:rsidRPr="00373487">
        <w:rPr>
          <w:rFonts w:ascii="Garamond" w:eastAsia="Times New Roman" w:hAnsi="Garamond" w:cs="Times New Roman"/>
        </w:rPr>
        <w:t xml:space="preserve"> Hepburn, and D</w:t>
      </w:r>
      <w:r w:rsidR="005E4527" w:rsidRPr="00373487">
        <w:rPr>
          <w:rFonts w:ascii="Garamond" w:eastAsia="Times New Roman" w:hAnsi="Garamond" w:cs="Times New Roman"/>
        </w:rPr>
        <w:t>.</w:t>
      </w:r>
      <w:r w:rsidRPr="00373487">
        <w:rPr>
          <w:rFonts w:ascii="Garamond" w:eastAsia="Times New Roman" w:hAnsi="Garamond" w:cs="Times New Roman"/>
        </w:rPr>
        <w:t xml:space="preserve"> Azrael. 2017. “Firearm Acquisition Without Background Checks: Results of a National Survey.” </w:t>
      </w:r>
      <w:r w:rsidRPr="00373487">
        <w:rPr>
          <w:rFonts w:ascii="Garamond" w:eastAsia="Times New Roman" w:hAnsi="Garamond" w:cs="Times New Roman"/>
          <w:i/>
          <w:iCs/>
        </w:rPr>
        <w:t>Annals of Internal Medicine</w:t>
      </w:r>
      <w:r w:rsidRPr="00373487">
        <w:rPr>
          <w:rFonts w:ascii="Garamond" w:eastAsia="Times New Roman" w:hAnsi="Garamond" w:cs="Times New Roman"/>
        </w:rPr>
        <w:t xml:space="preserve"> 166(4): 233–239. </w:t>
      </w:r>
      <w:hyperlink r:id="rId26" w:history="1">
        <w:r w:rsidRPr="00ED484B">
          <w:rPr>
            <w:rStyle w:val="Hyperlink"/>
            <w:rFonts w:ascii="Garamond" w:hAnsi="Garamond"/>
          </w:rPr>
          <w:t>https://doi.org/10.7326/M16-1590</w:t>
        </w:r>
      </w:hyperlink>
      <w:r w:rsidR="00FC4EBD" w:rsidRPr="00373487">
        <w:rPr>
          <w:rFonts w:ascii="Garamond" w:hAnsi="Garamond"/>
        </w:rPr>
        <w:t>.</w:t>
      </w:r>
    </w:p>
    <w:p w14:paraId="0210D38D" w14:textId="5C1E0E17" w:rsidR="00FC4EBD" w:rsidRPr="00373487" w:rsidRDefault="00FC4EBD" w:rsidP="00FC4EBD">
      <w:pPr>
        <w:spacing w:line="240" w:lineRule="auto"/>
        <w:ind w:left="540" w:hanging="540"/>
        <w:rPr>
          <w:rFonts w:ascii="Garamond" w:eastAsia="Times New Roman" w:hAnsi="Garamond" w:cs="Times New Roman"/>
        </w:rPr>
      </w:pPr>
      <w:r w:rsidRPr="00373487">
        <w:rPr>
          <w:rFonts w:ascii="Garamond" w:eastAsia="Times New Roman" w:hAnsi="Garamond" w:cs="Times New Roman"/>
        </w:rPr>
        <w:t>Nagin, D</w:t>
      </w:r>
      <w:r w:rsidR="005E4527" w:rsidRPr="00373487">
        <w:rPr>
          <w:rFonts w:ascii="Garamond" w:eastAsia="Times New Roman" w:hAnsi="Garamond" w:cs="Times New Roman"/>
        </w:rPr>
        <w:t>.</w:t>
      </w:r>
      <w:r w:rsidRPr="00373487">
        <w:rPr>
          <w:rFonts w:ascii="Garamond" w:eastAsia="Times New Roman" w:hAnsi="Garamond" w:cs="Times New Roman"/>
        </w:rPr>
        <w:t xml:space="preserve">S. 2013. “Deterrence in the Twenty-First Century.” </w:t>
      </w:r>
      <w:r w:rsidRPr="00373487">
        <w:rPr>
          <w:rFonts w:ascii="Garamond" w:eastAsia="Times New Roman" w:hAnsi="Garamond" w:cs="Times New Roman"/>
          <w:i/>
          <w:iCs/>
        </w:rPr>
        <w:t>Crime and Justice</w:t>
      </w:r>
      <w:r w:rsidRPr="00373487">
        <w:rPr>
          <w:rFonts w:ascii="Garamond" w:eastAsia="Times New Roman" w:hAnsi="Garamond" w:cs="Times New Roman"/>
        </w:rPr>
        <w:t xml:space="preserve"> 42(1): 199–263. </w:t>
      </w:r>
      <w:hyperlink r:id="rId27" w:history="1">
        <w:r w:rsidRPr="00373487">
          <w:rPr>
            <w:rStyle w:val="Hyperlink"/>
            <w:rFonts w:ascii="Garamond" w:eastAsia="Times New Roman" w:hAnsi="Garamond" w:cs="Times New Roman"/>
          </w:rPr>
          <w:t>https://www.journals.uchicago.edu/doi/abs/10.1086/449268</w:t>
        </w:r>
      </w:hyperlink>
      <w:r w:rsidR="00B76184" w:rsidRPr="00373487">
        <w:rPr>
          <w:rFonts w:ascii="Garamond" w:eastAsia="Times New Roman" w:hAnsi="Garamond" w:cs="Times New Roman"/>
        </w:rPr>
        <w:t>.</w:t>
      </w:r>
    </w:p>
    <w:p w14:paraId="7E25C835" w14:textId="0B318128" w:rsidR="00BF5759" w:rsidRPr="00373487" w:rsidRDefault="00BF5759" w:rsidP="00BF5759">
      <w:pPr>
        <w:tabs>
          <w:tab w:val="left" w:pos="630"/>
        </w:tabs>
        <w:spacing w:line="240" w:lineRule="auto"/>
        <w:ind w:left="540" w:hanging="540"/>
        <w:rPr>
          <w:rFonts w:ascii="Garamond" w:eastAsia="Times New Roman" w:hAnsi="Garamond" w:cs="Times New Roman"/>
        </w:rPr>
      </w:pPr>
      <w:r w:rsidRPr="00373487">
        <w:rPr>
          <w:rFonts w:ascii="Garamond" w:eastAsia="Times New Roman" w:hAnsi="Garamond" w:cs="Times New Roman"/>
        </w:rPr>
        <w:t>Rambachan, A</w:t>
      </w:r>
      <w:r w:rsidR="005E4527" w:rsidRPr="00373487">
        <w:rPr>
          <w:rFonts w:ascii="Garamond" w:eastAsia="Times New Roman" w:hAnsi="Garamond" w:cs="Times New Roman"/>
        </w:rPr>
        <w:t>.</w:t>
      </w:r>
      <w:r w:rsidRPr="00373487">
        <w:rPr>
          <w:rFonts w:ascii="Garamond" w:eastAsia="Times New Roman" w:hAnsi="Garamond" w:cs="Times New Roman"/>
        </w:rPr>
        <w:t xml:space="preserve"> and J</w:t>
      </w:r>
      <w:r w:rsidR="005E4527" w:rsidRPr="00373487">
        <w:rPr>
          <w:rFonts w:ascii="Garamond" w:eastAsia="Times New Roman" w:hAnsi="Garamond" w:cs="Times New Roman"/>
        </w:rPr>
        <w:t>.</w:t>
      </w:r>
      <w:r w:rsidRPr="00373487">
        <w:rPr>
          <w:rFonts w:ascii="Garamond" w:eastAsia="Times New Roman" w:hAnsi="Garamond" w:cs="Times New Roman"/>
        </w:rPr>
        <w:t xml:space="preserve"> Roth. 2023. “A More Credible Approach to Parallel Trends.” </w:t>
      </w:r>
      <w:r w:rsidRPr="00373487">
        <w:rPr>
          <w:rFonts w:ascii="Garamond" w:eastAsia="Times New Roman" w:hAnsi="Garamond" w:cs="Times New Roman"/>
          <w:i/>
          <w:iCs/>
        </w:rPr>
        <w:t>Review of Economic Studies</w:t>
      </w:r>
      <w:r w:rsidRPr="00373487">
        <w:rPr>
          <w:rFonts w:ascii="Garamond" w:eastAsia="Times New Roman" w:hAnsi="Garamond" w:cs="Times New Roman"/>
        </w:rPr>
        <w:t xml:space="preserve"> 90: 2555–2591. </w:t>
      </w:r>
      <w:hyperlink r:id="rId28" w:history="1">
        <w:r w:rsidRPr="00ED484B">
          <w:rPr>
            <w:rStyle w:val="Hyperlink"/>
            <w:rFonts w:ascii="Garamond" w:hAnsi="Garamond"/>
          </w:rPr>
          <w:t>https://doi.org/10.1093/restud/rdad018</w:t>
        </w:r>
      </w:hyperlink>
      <w:r w:rsidR="00ED484B">
        <w:t>.</w:t>
      </w:r>
    </w:p>
    <w:p w14:paraId="6273BDD4" w14:textId="2739A00C" w:rsidR="005A66DD" w:rsidRPr="00373487" w:rsidRDefault="005A66DD" w:rsidP="005A66DD">
      <w:pPr>
        <w:pStyle w:val="NormalWeb"/>
        <w:spacing w:before="0" w:beforeAutospacing="0" w:after="0" w:afterAutospacing="0" w:line="240" w:lineRule="auto"/>
        <w:ind w:left="562" w:hanging="562"/>
        <w:rPr>
          <w:rFonts w:ascii="Garamond" w:hAnsi="Garamond"/>
        </w:rPr>
      </w:pPr>
      <w:r w:rsidRPr="00373487">
        <w:rPr>
          <w:rFonts w:ascii="Garamond" w:hAnsi="Garamond"/>
        </w:rPr>
        <w:t>Roth, J</w:t>
      </w:r>
      <w:r w:rsidR="005E4527" w:rsidRPr="00373487">
        <w:rPr>
          <w:rFonts w:ascii="Garamond" w:hAnsi="Garamond"/>
        </w:rPr>
        <w:t>.</w:t>
      </w:r>
      <w:r w:rsidRPr="00373487">
        <w:rPr>
          <w:rFonts w:ascii="Garamond" w:hAnsi="Garamond"/>
        </w:rPr>
        <w:t>, P</w:t>
      </w:r>
      <w:r w:rsidR="005E4527" w:rsidRPr="00373487">
        <w:rPr>
          <w:rFonts w:ascii="Garamond" w:hAnsi="Garamond"/>
        </w:rPr>
        <w:t>.</w:t>
      </w:r>
      <w:r w:rsidRPr="00373487">
        <w:rPr>
          <w:rFonts w:ascii="Garamond" w:hAnsi="Garamond"/>
        </w:rPr>
        <w:t>H.C. Sant’Anna, A</w:t>
      </w:r>
      <w:r w:rsidR="005E4527" w:rsidRPr="00373487">
        <w:rPr>
          <w:rFonts w:ascii="Garamond" w:hAnsi="Garamond"/>
        </w:rPr>
        <w:t>.</w:t>
      </w:r>
      <w:r w:rsidRPr="00373487">
        <w:rPr>
          <w:rFonts w:ascii="Garamond" w:hAnsi="Garamond"/>
        </w:rPr>
        <w:t xml:space="preserve"> Bilinski, and J</w:t>
      </w:r>
      <w:r w:rsidR="005E4527" w:rsidRPr="00373487">
        <w:rPr>
          <w:rFonts w:ascii="Garamond" w:hAnsi="Garamond"/>
        </w:rPr>
        <w:t>.</w:t>
      </w:r>
      <w:r w:rsidRPr="00373487">
        <w:rPr>
          <w:rFonts w:ascii="Garamond" w:hAnsi="Garamond"/>
        </w:rPr>
        <w:t xml:space="preserve"> Poe. 2023. “What’s Trending in Difference-in-Differences? A Synthesis of the Recent Econometrics Literature.” </w:t>
      </w:r>
      <w:r w:rsidRPr="00373487">
        <w:rPr>
          <w:rFonts w:ascii="Garamond" w:hAnsi="Garamond"/>
          <w:i/>
          <w:iCs/>
        </w:rPr>
        <w:t>Journal of Econometrics</w:t>
      </w:r>
      <w:r w:rsidRPr="00373487">
        <w:rPr>
          <w:rFonts w:ascii="Garamond" w:hAnsi="Garamond"/>
        </w:rPr>
        <w:t xml:space="preserve"> 235: 2218–2244. </w:t>
      </w:r>
      <w:hyperlink r:id="rId29" w:history="1">
        <w:r w:rsidRPr="00373487">
          <w:rPr>
            <w:rStyle w:val="Hyperlink"/>
            <w:rFonts w:ascii="Garamond" w:hAnsi="Garamond"/>
          </w:rPr>
          <w:t>https://doi.org/10.1016/j.jeconom.2023.03.008</w:t>
        </w:r>
      </w:hyperlink>
      <w:r w:rsidRPr="00373487">
        <w:rPr>
          <w:rFonts w:ascii="Garamond" w:hAnsi="Garamond"/>
        </w:rPr>
        <w:t>.</w:t>
      </w:r>
    </w:p>
    <w:p w14:paraId="7F8BA0B5" w14:textId="48976F73" w:rsidR="00EF1A92" w:rsidRPr="00373487" w:rsidRDefault="00EF1A92" w:rsidP="00EF1A92">
      <w:pPr>
        <w:spacing w:line="240" w:lineRule="auto"/>
        <w:ind w:left="540" w:hanging="540"/>
        <w:rPr>
          <w:rFonts w:ascii="Garamond" w:hAnsi="Garamond"/>
        </w:rPr>
      </w:pPr>
      <w:r w:rsidRPr="00373487">
        <w:rPr>
          <w:rFonts w:ascii="Garamond" w:hAnsi="Garamond"/>
        </w:rPr>
        <w:t xml:space="preserve">sh1tpost1nsh1t. 2024, April 11. US to close 'gun show loophole' and require more background checks. [Online forum post]. Reddit r/law. </w:t>
      </w:r>
      <w:hyperlink r:id="rId30" w:history="1">
        <w:r w:rsidRPr="00373487">
          <w:rPr>
            <w:rStyle w:val="Hyperlink"/>
            <w:rFonts w:ascii="Garamond" w:hAnsi="Garamond"/>
          </w:rPr>
          <w:t>https://www.reddit.com/r/law/comments/1c1gop8/comment/kz4a0r6/</w:t>
        </w:r>
      </w:hyperlink>
      <w:r w:rsidR="005E4527" w:rsidRPr="00373487">
        <w:rPr>
          <w:rFonts w:ascii="Garamond" w:hAnsi="Garamond"/>
        </w:rPr>
        <w:t>.</w:t>
      </w:r>
    </w:p>
    <w:p w14:paraId="102D7FF6" w14:textId="0CF9073D" w:rsidR="007B3A9E" w:rsidRPr="00373487" w:rsidRDefault="007B3A9E" w:rsidP="0049036D">
      <w:pPr>
        <w:spacing w:line="240" w:lineRule="auto"/>
        <w:ind w:left="540" w:hanging="540"/>
        <w:rPr>
          <w:rFonts w:ascii="Garamond" w:hAnsi="Garamond"/>
        </w:rPr>
      </w:pPr>
      <w:r w:rsidRPr="00373487">
        <w:rPr>
          <w:rFonts w:ascii="Garamond" w:hAnsi="Garamond"/>
        </w:rPr>
        <w:t xml:space="preserve">Siegel, M. 2024. “Universal Background Checks, Permit Requirements, and Firearm Homicide Rates.” </w:t>
      </w:r>
      <w:r w:rsidRPr="00373487">
        <w:rPr>
          <w:rFonts w:ascii="Garamond" w:hAnsi="Garamond"/>
          <w:i/>
          <w:iCs/>
        </w:rPr>
        <w:t>JAMA Network Open</w:t>
      </w:r>
      <w:r w:rsidRPr="00373487">
        <w:rPr>
          <w:rFonts w:ascii="Garamond" w:hAnsi="Garamond"/>
        </w:rPr>
        <w:t xml:space="preserve"> 7(8): e2425025. </w:t>
      </w:r>
      <w:hyperlink r:id="rId31" w:history="1">
        <w:r w:rsidRPr="00ED484B">
          <w:rPr>
            <w:rStyle w:val="Hyperlink"/>
            <w:rFonts w:ascii="Garamond" w:hAnsi="Garamond"/>
          </w:rPr>
          <w:t>https://10.1001/jamanetworkopen.2024.25025</w:t>
        </w:r>
      </w:hyperlink>
      <w:r w:rsidRPr="00373487">
        <w:rPr>
          <w:rFonts w:ascii="Garamond" w:hAnsi="Garamond"/>
        </w:rPr>
        <w:t>.</w:t>
      </w:r>
    </w:p>
    <w:p w14:paraId="2EE0B03A" w14:textId="17DE63C4" w:rsidR="005B16A9" w:rsidRPr="00373487" w:rsidRDefault="00D86F39" w:rsidP="009934BF">
      <w:pPr>
        <w:spacing w:line="240" w:lineRule="auto"/>
        <w:ind w:left="540" w:hanging="540"/>
        <w:rPr>
          <w:rFonts w:ascii="Garamond" w:hAnsi="Garamond"/>
        </w:rPr>
      </w:pPr>
      <w:r w:rsidRPr="00373487">
        <w:rPr>
          <w:rFonts w:ascii="Garamond" w:hAnsi="Garamond"/>
        </w:rPr>
        <w:t>Smucker, S</w:t>
      </w:r>
      <w:r w:rsidR="005E4527" w:rsidRPr="00373487">
        <w:rPr>
          <w:rFonts w:ascii="Garamond" w:hAnsi="Garamond"/>
        </w:rPr>
        <w:t>.</w:t>
      </w:r>
      <w:r w:rsidRPr="00373487">
        <w:rPr>
          <w:rFonts w:ascii="Garamond" w:hAnsi="Garamond"/>
        </w:rPr>
        <w:t>, M</w:t>
      </w:r>
      <w:r w:rsidR="005E4527" w:rsidRPr="00373487">
        <w:rPr>
          <w:rFonts w:ascii="Garamond" w:hAnsi="Garamond"/>
        </w:rPr>
        <w:t>.</w:t>
      </w:r>
      <w:r w:rsidRPr="00373487">
        <w:rPr>
          <w:rFonts w:ascii="Garamond" w:hAnsi="Garamond"/>
        </w:rPr>
        <w:t xml:space="preserve"> Griswold, A</w:t>
      </w:r>
      <w:r w:rsidR="005E4527" w:rsidRPr="00373487">
        <w:rPr>
          <w:rFonts w:ascii="Garamond" w:hAnsi="Garamond"/>
        </w:rPr>
        <w:t>.</w:t>
      </w:r>
      <w:r w:rsidRPr="00373487">
        <w:rPr>
          <w:rFonts w:ascii="Garamond" w:hAnsi="Garamond"/>
        </w:rPr>
        <w:t xml:space="preserve"> Charbonneau, R</w:t>
      </w:r>
      <w:r w:rsidR="005E4527" w:rsidRPr="00373487">
        <w:rPr>
          <w:rFonts w:ascii="Garamond" w:hAnsi="Garamond"/>
        </w:rPr>
        <w:t>.</w:t>
      </w:r>
      <w:r w:rsidRPr="00373487">
        <w:rPr>
          <w:rFonts w:ascii="Garamond" w:hAnsi="Garamond"/>
        </w:rPr>
        <w:t xml:space="preserve"> Kerber, T</w:t>
      </w:r>
      <w:r w:rsidR="005E4527" w:rsidRPr="00373487">
        <w:rPr>
          <w:rFonts w:ascii="Garamond" w:hAnsi="Garamond"/>
        </w:rPr>
        <w:t>.</w:t>
      </w:r>
      <w:r w:rsidRPr="00373487">
        <w:rPr>
          <w:rFonts w:ascii="Garamond" w:hAnsi="Garamond"/>
        </w:rPr>
        <w:t>L. Schell, and A</w:t>
      </w:r>
      <w:r w:rsidR="005E4527" w:rsidRPr="00373487">
        <w:rPr>
          <w:rFonts w:ascii="Garamond" w:hAnsi="Garamond"/>
        </w:rPr>
        <w:t>.</w:t>
      </w:r>
      <w:r w:rsidRPr="00373487">
        <w:rPr>
          <w:rFonts w:ascii="Garamond" w:hAnsi="Garamond"/>
        </w:rPr>
        <w:t xml:space="preserve">R. Morral. 2022. </w:t>
      </w:r>
      <w:r w:rsidRPr="00373487">
        <w:rPr>
          <w:rFonts w:ascii="Garamond" w:hAnsi="Garamond"/>
          <w:i/>
          <w:iCs/>
        </w:rPr>
        <w:t>Using National Instant Criminal Background Check Data for Gun Policy Analysis: A Discussion of Available Data and Their Limitations</w:t>
      </w:r>
      <w:r w:rsidRPr="00373487">
        <w:rPr>
          <w:rFonts w:ascii="Garamond" w:hAnsi="Garamond"/>
        </w:rPr>
        <w:t xml:space="preserve">. Santa Monica, CA: RAND Corporation. </w:t>
      </w:r>
      <w:hyperlink r:id="rId32" w:history="1">
        <w:r w:rsidRPr="00ED484B">
          <w:rPr>
            <w:rStyle w:val="Hyperlink"/>
            <w:rFonts w:ascii="Garamond" w:hAnsi="Garamond"/>
          </w:rPr>
          <w:t>https://www.rand.org/pubs/tools/TLA243-4.html</w:t>
        </w:r>
      </w:hyperlink>
      <w:r w:rsidRPr="00ED484B">
        <w:rPr>
          <w:rFonts w:ascii="Garamond" w:hAnsi="Garamond"/>
        </w:rPr>
        <w:t>.</w:t>
      </w:r>
      <w:r w:rsidRPr="00373487">
        <w:rPr>
          <w:rFonts w:ascii="Garamond" w:hAnsi="Garamond"/>
        </w:rPr>
        <w:t xml:space="preserve"> </w:t>
      </w:r>
    </w:p>
    <w:p w14:paraId="4A9AE2CE" w14:textId="7D80A515" w:rsidR="005117A8" w:rsidRPr="00373487" w:rsidRDefault="005117A8" w:rsidP="005117A8">
      <w:pPr>
        <w:spacing w:line="240" w:lineRule="auto"/>
        <w:ind w:left="540" w:hanging="540"/>
        <w:rPr>
          <w:rFonts w:ascii="Garamond" w:hAnsi="Garamond"/>
        </w:rPr>
      </w:pPr>
      <w:r w:rsidRPr="00373487">
        <w:rPr>
          <w:rFonts w:ascii="Garamond" w:hAnsi="Garamond"/>
        </w:rPr>
        <w:t xml:space="preserve">top_prop. 2024, July 10. Final Rule ATF “Engaged in Business.” [Online forum post]. Shotgun World. </w:t>
      </w:r>
      <w:hyperlink r:id="rId33" w:history="1">
        <w:r w:rsidRPr="00373487">
          <w:rPr>
            <w:rStyle w:val="Hyperlink"/>
            <w:rFonts w:ascii="Garamond" w:hAnsi="Garamond"/>
          </w:rPr>
          <w:t>https://www.shotgunworld.com/threads/final-rule-atf-engaged-in-business.570192/</w:t>
        </w:r>
      </w:hyperlink>
    </w:p>
    <w:p w14:paraId="0013773F" w14:textId="7A4D8315" w:rsidR="00A33335" w:rsidRPr="00373487" w:rsidRDefault="00A33335" w:rsidP="00A33335">
      <w:pPr>
        <w:spacing w:line="240" w:lineRule="auto"/>
        <w:ind w:left="540" w:hanging="540"/>
        <w:rPr>
          <w:rFonts w:ascii="Garamond" w:eastAsia="Times New Roman" w:hAnsi="Garamond" w:cs="Times New Roman"/>
          <w:kern w:val="36"/>
        </w:rPr>
      </w:pPr>
      <w:r w:rsidRPr="00373487">
        <w:rPr>
          <w:rFonts w:ascii="Garamond" w:eastAsia="Times New Roman" w:hAnsi="Garamond" w:cs="Times New Roman"/>
          <w:kern w:val="36"/>
        </w:rPr>
        <w:t xml:space="preserve">U.S. Bureau of Alcohol, Tobacco, Firearms and Explosives (ATF). 2024. </w:t>
      </w:r>
      <w:r w:rsidRPr="00373487">
        <w:rPr>
          <w:rFonts w:ascii="Garamond" w:eastAsia="Times New Roman" w:hAnsi="Garamond" w:cs="Times New Roman"/>
          <w:i/>
          <w:iCs/>
          <w:kern w:val="36"/>
        </w:rPr>
        <w:t>Do I Need a License to Buy and Sell Firearms?</w:t>
      </w:r>
      <w:r w:rsidRPr="00373487">
        <w:rPr>
          <w:rFonts w:ascii="Garamond" w:eastAsia="Times New Roman" w:hAnsi="Garamond" w:cs="Times New Roman"/>
          <w:kern w:val="36"/>
        </w:rPr>
        <w:t xml:space="preserve"> ATF Publication 5310.2. Washington, DC: U.S. Department of Justice.</w:t>
      </w:r>
    </w:p>
    <w:p w14:paraId="269C0471" w14:textId="2F714D23" w:rsidR="00621BE4" w:rsidRPr="00373487" w:rsidRDefault="00621BE4" w:rsidP="00621BE4">
      <w:pPr>
        <w:spacing w:line="240" w:lineRule="auto"/>
        <w:ind w:left="540" w:hanging="540"/>
        <w:rPr>
          <w:rFonts w:ascii="Garamond" w:eastAsia="Times New Roman" w:hAnsi="Garamond" w:cs="Times New Roman"/>
          <w:kern w:val="36"/>
        </w:rPr>
      </w:pPr>
      <w:r w:rsidRPr="00373487">
        <w:rPr>
          <w:rFonts w:ascii="Garamond" w:eastAsia="Times New Roman" w:hAnsi="Garamond" w:cs="Times New Roman"/>
          <w:kern w:val="36"/>
        </w:rPr>
        <w:t xml:space="preserve">U.S. Bureau of Alcohol, Tobacco, Firearms and Explosives (ATF). 2025. </w:t>
      </w:r>
      <w:r w:rsidRPr="00373487">
        <w:rPr>
          <w:rFonts w:ascii="Garamond" w:eastAsia="Times New Roman" w:hAnsi="Garamond" w:cs="Times New Roman"/>
          <w:i/>
          <w:iCs/>
          <w:kern w:val="36"/>
        </w:rPr>
        <w:t>DOJ, ATF Repeal FFL Inspection Policy and Begin Review of Two Final Rules</w:t>
      </w:r>
      <w:r w:rsidRPr="00373487">
        <w:rPr>
          <w:rFonts w:ascii="Garamond" w:eastAsia="Times New Roman" w:hAnsi="Garamond" w:cs="Times New Roman"/>
          <w:kern w:val="36"/>
        </w:rPr>
        <w:t xml:space="preserve"> [Press Release]. April 7. Washington, DC: U.S. </w:t>
      </w:r>
      <w:r w:rsidRPr="00373487">
        <w:rPr>
          <w:rFonts w:ascii="Garamond" w:eastAsia="Times New Roman" w:hAnsi="Garamond" w:cs="Times New Roman"/>
          <w:kern w:val="36"/>
        </w:rPr>
        <w:lastRenderedPageBreak/>
        <w:t xml:space="preserve">Department of Justice. </w:t>
      </w:r>
      <w:hyperlink r:id="rId34" w:history="1">
        <w:r w:rsidRPr="00373487">
          <w:rPr>
            <w:rStyle w:val="Hyperlink"/>
            <w:rFonts w:ascii="Garamond" w:eastAsia="Times New Roman" w:hAnsi="Garamond" w:cs="Times New Roman"/>
            <w:kern w:val="36"/>
          </w:rPr>
          <w:t>https://www.atf.gov/news/press-releases/doj-atf-repeal-ffl-inspection-policy-and-begin-review-two-final-rules</w:t>
        </w:r>
      </w:hyperlink>
      <w:r w:rsidRPr="00373487">
        <w:rPr>
          <w:rFonts w:ascii="Garamond" w:eastAsia="Times New Roman" w:hAnsi="Garamond" w:cs="Times New Roman"/>
          <w:kern w:val="36"/>
        </w:rPr>
        <w:t>.</w:t>
      </w:r>
    </w:p>
    <w:p w14:paraId="12740F33" w14:textId="02381E05" w:rsidR="0057567E" w:rsidRPr="00373487" w:rsidRDefault="0057567E" w:rsidP="0049036D">
      <w:pPr>
        <w:pStyle w:val="NormalWeb"/>
        <w:spacing w:before="0" w:beforeAutospacing="0" w:after="0" w:afterAutospacing="0" w:line="240" w:lineRule="auto"/>
        <w:ind w:left="567" w:hanging="567"/>
        <w:rPr>
          <w:rFonts w:ascii="Garamond" w:hAnsi="Garamond"/>
        </w:rPr>
      </w:pPr>
      <w:r w:rsidRPr="00373487">
        <w:rPr>
          <w:rFonts w:ascii="Garamond" w:hAnsi="Garamond"/>
        </w:rPr>
        <w:t xml:space="preserve">U.S. Department of Justice (DOJ). 2024. “Justice Department Publishes New Rule to Update Definition of ‘Engaged in the Business’ as a Firearms Dealer.” Office of Public Affairs, United States Department of Justice (April 11, 2024). </w:t>
      </w:r>
      <w:hyperlink r:id="rId35" w:history="1">
        <w:r w:rsidRPr="00ED484B">
          <w:rPr>
            <w:rStyle w:val="Hyperlink"/>
            <w:rFonts w:ascii="Garamond" w:eastAsiaTheme="majorEastAsia" w:hAnsi="Garamond"/>
          </w:rPr>
          <w:t>https://www.justice.gov/opa/pr/justice-department-publishes-new-rule-update-definition-engaged-business-firearms-dealer</w:t>
        </w:r>
      </w:hyperlink>
      <w:r w:rsidR="00373487">
        <w:rPr>
          <w:rFonts w:ascii="Garamond" w:hAnsi="Garamond"/>
        </w:rPr>
        <w:t>.</w:t>
      </w:r>
      <w:r w:rsidRPr="00373487">
        <w:rPr>
          <w:rFonts w:ascii="Garamond" w:hAnsi="Garamond"/>
        </w:rPr>
        <w:t xml:space="preserve"> </w:t>
      </w:r>
    </w:p>
    <w:p w14:paraId="5E88909B" w14:textId="5DB19F46" w:rsidR="0057567E" w:rsidRPr="00373487" w:rsidRDefault="0057567E" w:rsidP="00360D3F">
      <w:pPr>
        <w:pStyle w:val="NormalWeb"/>
        <w:spacing w:before="0" w:beforeAutospacing="0" w:after="0" w:afterAutospacing="0" w:line="240" w:lineRule="auto"/>
        <w:ind w:left="567" w:hanging="567"/>
        <w:rPr>
          <w:rStyle w:val="Hyperlink"/>
          <w:rFonts w:ascii="Garamond" w:eastAsiaTheme="majorEastAsia" w:hAnsi="Garamond"/>
          <w:color w:val="auto"/>
        </w:rPr>
      </w:pPr>
      <w:r w:rsidRPr="00373487">
        <w:rPr>
          <w:rFonts w:ascii="Garamond" w:hAnsi="Garamond"/>
        </w:rPr>
        <w:t>Wintemute, G</w:t>
      </w:r>
      <w:r w:rsidR="005E4527" w:rsidRPr="00373487">
        <w:rPr>
          <w:rFonts w:ascii="Garamond" w:hAnsi="Garamond"/>
        </w:rPr>
        <w:t>.</w:t>
      </w:r>
      <w:r w:rsidRPr="00373487">
        <w:rPr>
          <w:rFonts w:ascii="Garamond" w:hAnsi="Garamond"/>
        </w:rPr>
        <w:t>J., A</w:t>
      </w:r>
      <w:r w:rsidR="005E4527" w:rsidRPr="00373487">
        <w:rPr>
          <w:rFonts w:ascii="Garamond" w:hAnsi="Garamond"/>
        </w:rPr>
        <w:t>.</w:t>
      </w:r>
      <w:r w:rsidRPr="00373487">
        <w:rPr>
          <w:rFonts w:ascii="Garamond" w:hAnsi="Garamond"/>
        </w:rPr>
        <w:t>A. Braga, and D</w:t>
      </w:r>
      <w:r w:rsidR="005E4527" w:rsidRPr="00373487">
        <w:rPr>
          <w:rFonts w:ascii="Garamond" w:hAnsi="Garamond"/>
        </w:rPr>
        <w:t>.</w:t>
      </w:r>
      <w:r w:rsidRPr="00373487">
        <w:rPr>
          <w:rFonts w:ascii="Garamond" w:hAnsi="Garamond"/>
        </w:rPr>
        <w:t xml:space="preserve">M. Kennedy. 2010. “Private-Party Gun Sales, Regulation, and Public Safety.” </w:t>
      </w:r>
      <w:r w:rsidRPr="00373487">
        <w:rPr>
          <w:rFonts w:ascii="Garamond" w:hAnsi="Garamond"/>
          <w:i/>
          <w:iCs/>
        </w:rPr>
        <w:t>The New England Journal of Medicine</w:t>
      </w:r>
      <w:r w:rsidRPr="00373487">
        <w:rPr>
          <w:rFonts w:ascii="Garamond" w:hAnsi="Garamond"/>
        </w:rPr>
        <w:t xml:space="preserve"> 363(6): 508–511. </w:t>
      </w:r>
      <w:hyperlink r:id="rId36" w:history="1">
        <w:r w:rsidRPr="00ED484B">
          <w:rPr>
            <w:rStyle w:val="Hyperlink"/>
            <w:rFonts w:ascii="Garamond" w:eastAsiaTheme="majorEastAsia" w:hAnsi="Garamond"/>
          </w:rPr>
          <w:t>https://www.nejm.org/doi/full/10.1056/NEJMp1006326</w:t>
        </w:r>
      </w:hyperlink>
      <w:r w:rsidR="00373487">
        <w:rPr>
          <w:rFonts w:ascii="Garamond" w:hAnsi="Garamond"/>
        </w:rPr>
        <w:t>.</w:t>
      </w:r>
    </w:p>
    <w:p w14:paraId="215CCE72" w14:textId="60BD6AA8" w:rsidR="00234870" w:rsidRPr="009934BF" w:rsidRDefault="00234870" w:rsidP="00234870">
      <w:pPr>
        <w:pStyle w:val="NormalWeb"/>
        <w:spacing w:before="0" w:beforeAutospacing="0" w:after="0" w:afterAutospacing="0" w:line="240" w:lineRule="auto"/>
        <w:ind w:left="562" w:hanging="562"/>
        <w:rPr>
          <w:rFonts w:ascii="Garamond" w:hAnsi="Garamond"/>
          <w:lang w:val="en-GB"/>
        </w:rPr>
      </w:pPr>
      <w:r w:rsidRPr="00373487">
        <w:rPr>
          <w:rFonts w:ascii="Garamond" w:hAnsi="Garamond"/>
        </w:rPr>
        <w:t>Wintemute, G</w:t>
      </w:r>
      <w:r w:rsidR="005E4527" w:rsidRPr="00373487">
        <w:rPr>
          <w:rFonts w:ascii="Garamond" w:hAnsi="Garamond"/>
        </w:rPr>
        <w:t>.</w:t>
      </w:r>
      <w:r w:rsidRPr="00373487">
        <w:rPr>
          <w:rFonts w:ascii="Garamond" w:hAnsi="Garamond"/>
        </w:rPr>
        <w:t>J., D</w:t>
      </w:r>
      <w:r w:rsidR="005E4527" w:rsidRPr="00373487">
        <w:rPr>
          <w:rFonts w:ascii="Garamond" w:hAnsi="Garamond"/>
        </w:rPr>
        <w:t>.</w:t>
      </w:r>
      <w:r w:rsidRPr="00373487">
        <w:rPr>
          <w:rFonts w:ascii="Garamond" w:hAnsi="Garamond"/>
        </w:rPr>
        <w:t xml:space="preserve"> Hemenway, D</w:t>
      </w:r>
      <w:r w:rsidR="005E4527" w:rsidRPr="00373487">
        <w:rPr>
          <w:rFonts w:ascii="Garamond" w:hAnsi="Garamond"/>
        </w:rPr>
        <w:t>.</w:t>
      </w:r>
      <w:r w:rsidRPr="00373487">
        <w:rPr>
          <w:rFonts w:ascii="Garamond" w:hAnsi="Garamond"/>
        </w:rPr>
        <w:t xml:space="preserve"> Webster, G</w:t>
      </w:r>
      <w:r w:rsidR="005E4527" w:rsidRPr="00373487">
        <w:rPr>
          <w:rFonts w:ascii="Garamond" w:hAnsi="Garamond"/>
        </w:rPr>
        <w:t>.</w:t>
      </w:r>
      <w:r w:rsidRPr="00373487">
        <w:rPr>
          <w:rFonts w:ascii="Garamond" w:hAnsi="Garamond"/>
        </w:rPr>
        <w:t xml:space="preserve"> Pierce, and A</w:t>
      </w:r>
      <w:r w:rsidR="005E4527" w:rsidRPr="00373487">
        <w:rPr>
          <w:rFonts w:ascii="Garamond" w:hAnsi="Garamond"/>
        </w:rPr>
        <w:t>.</w:t>
      </w:r>
      <w:r w:rsidRPr="00373487">
        <w:rPr>
          <w:rFonts w:ascii="Garamond" w:hAnsi="Garamond"/>
        </w:rPr>
        <w:t xml:space="preserve">A. Braga. 2010. “Gun Shows and Gun Violence: Fatally Flawed Study Yields Misleading Results.” </w:t>
      </w:r>
      <w:r w:rsidRPr="00373487">
        <w:rPr>
          <w:rFonts w:ascii="Garamond" w:hAnsi="Garamond"/>
          <w:i/>
          <w:iCs/>
          <w:lang w:val="en-GB"/>
        </w:rPr>
        <w:t>American Journal of Public Health</w:t>
      </w:r>
      <w:r w:rsidRPr="00373487">
        <w:rPr>
          <w:rFonts w:ascii="Garamond" w:hAnsi="Garamond"/>
          <w:lang w:val="en-GB"/>
        </w:rPr>
        <w:t xml:space="preserve"> 100: 1856</w:t>
      </w:r>
      <w:r w:rsidRPr="00373487">
        <w:rPr>
          <w:rFonts w:ascii="Garamond" w:hAnsi="Garamond"/>
        </w:rPr>
        <w:t>–</w:t>
      </w:r>
      <w:r w:rsidRPr="00373487">
        <w:rPr>
          <w:rFonts w:ascii="Garamond" w:hAnsi="Garamond"/>
          <w:lang w:val="en-GB"/>
        </w:rPr>
        <w:t xml:space="preserve">1860. </w:t>
      </w:r>
      <w:hyperlink r:id="rId37" w:history="1">
        <w:r w:rsidRPr="00ED484B">
          <w:rPr>
            <w:rStyle w:val="Hyperlink"/>
            <w:rFonts w:ascii="Garamond" w:eastAsiaTheme="majorEastAsia" w:hAnsi="Garamond"/>
          </w:rPr>
          <w:t>https://doi.org/10.2105/AJPH.2010.191916</w:t>
        </w:r>
      </w:hyperlink>
      <w:r w:rsidR="00373487">
        <w:rPr>
          <w:rFonts w:ascii="Garamond" w:hAnsi="Garamond"/>
        </w:rPr>
        <w:t>.</w:t>
      </w:r>
    </w:p>
    <w:p w14:paraId="7582434D" w14:textId="4BC208D7" w:rsidR="00BD7F3C" w:rsidRPr="006A79B9" w:rsidRDefault="00BD7F3C">
      <w:pPr>
        <w:spacing w:after="160" w:line="278" w:lineRule="auto"/>
        <w:rPr>
          <w:rFonts w:ascii="Times New Roman" w:eastAsia="Times New Roman" w:hAnsi="Times New Roman" w:cs="Times New Roman"/>
        </w:rPr>
      </w:pPr>
      <w:r w:rsidRPr="006A79B9">
        <w:br w:type="page"/>
      </w:r>
    </w:p>
    <w:p w14:paraId="6DD9F2C0" w14:textId="7C8F5DCE" w:rsidR="00234870" w:rsidRPr="0037123D" w:rsidRDefault="00BD7F3C" w:rsidP="00360D3F">
      <w:pPr>
        <w:pStyle w:val="NormalWeb"/>
        <w:spacing w:before="0" w:beforeAutospacing="0" w:after="0" w:afterAutospacing="0" w:line="240" w:lineRule="auto"/>
        <w:ind w:left="567" w:hanging="567"/>
        <w:rPr>
          <w:rFonts w:ascii="Garamond" w:hAnsi="Garamond"/>
          <w:b/>
          <w:smallCaps/>
        </w:rPr>
      </w:pPr>
      <w:r w:rsidRPr="0037123D">
        <w:rPr>
          <w:rFonts w:ascii="Garamond" w:hAnsi="Garamond"/>
          <w:b/>
          <w:smallCaps/>
        </w:rPr>
        <w:lastRenderedPageBreak/>
        <w:t>Appendices</w:t>
      </w:r>
    </w:p>
    <w:p w14:paraId="02F2A929" w14:textId="77777777" w:rsidR="00BD7F3C" w:rsidRPr="006A79B9" w:rsidRDefault="00BD7F3C" w:rsidP="00360D3F">
      <w:pPr>
        <w:pStyle w:val="NormalWeb"/>
        <w:spacing w:before="0" w:beforeAutospacing="0" w:after="0" w:afterAutospacing="0" w:line="240" w:lineRule="auto"/>
        <w:ind w:left="567" w:hanging="567"/>
      </w:pPr>
    </w:p>
    <w:p w14:paraId="0744093D" w14:textId="77777777" w:rsidR="00A86310" w:rsidRPr="006A79B9" w:rsidRDefault="00A86310" w:rsidP="00360D3F">
      <w:pPr>
        <w:pStyle w:val="NormalWeb"/>
        <w:spacing w:before="0" w:beforeAutospacing="0" w:after="0" w:afterAutospacing="0" w:line="240" w:lineRule="auto"/>
        <w:ind w:left="567" w:hanging="567"/>
      </w:pPr>
    </w:p>
    <w:p w14:paraId="58948D91" w14:textId="6C827E7D" w:rsidR="00127B10" w:rsidRPr="0089347C" w:rsidRDefault="00127B10" w:rsidP="00127B10">
      <w:pPr>
        <w:spacing w:line="240" w:lineRule="auto"/>
        <w:jc w:val="both"/>
        <w:rPr>
          <w:rFonts w:ascii="Garamond" w:hAnsi="Garamond" w:cs="Courier New"/>
          <w:b/>
          <w:bCs/>
        </w:rPr>
      </w:pPr>
      <w:r w:rsidRPr="006A79B9">
        <w:rPr>
          <w:rFonts w:ascii="Garamond" w:hAnsi="Garamond" w:cs="Courier New"/>
          <w:b/>
          <w:bCs/>
        </w:rPr>
        <w:t xml:space="preserve">Appendix Table </w:t>
      </w:r>
      <w:r w:rsidR="00C110BE">
        <w:rPr>
          <w:rFonts w:ascii="Garamond" w:hAnsi="Garamond" w:cs="Courier New"/>
          <w:b/>
          <w:bCs/>
        </w:rPr>
        <w:t>A</w:t>
      </w:r>
      <w:r w:rsidRPr="006A79B9">
        <w:rPr>
          <w:rFonts w:ascii="Garamond" w:hAnsi="Garamond" w:cs="Courier New"/>
          <w:b/>
          <w:bCs/>
        </w:rPr>
        <w:t xml:space="preserve">1. </w:t>
      </w:r>
      <w:r w:rsidRPr="004D04A3">
        <w:rPr>
          <w:rFonts w:ascii="Garamond" w:hAnsi="Garamond" w:cs="Courier New"/>
          <w:b/>
          <w:bCs/>
        </w:rPr>
        <w:t>Event Study Estimates</w:t>
      </w:r>
      <w:r w:rsidRPr="006A79B9">
        <w:rPr>
          <w:rFonts w:ascii="Garamond" w:hAnsi="Garamond" w:cs="Courier New"/>
          <w:b/>
          <w:bCs/>
        </w:rPr>
        <w:t>:</w:t>
      </w:r>
      <w:r w:rsidR="004D6234">
        <w:rPr>
          <w:rFonts w:ascii="Garamond" w:hAnsi="Garamond" w:cs="Courier New"/>
          <w:b/>
          <w:bCs/>
        </w:rPr>
        <w:t xml:space="preserve"> New</w:t>
      </w:r>
      <w:r w:rsidRPr="006A79B9">
        <w:rPr>
          <w:rFonts w:ascii="Garamond" w:hAnsi="Garamond" w:cs="Courier New"/>
          <w:b/>
          <w:bCs/>
        </w:rPr>
        <w:t xml:space="preserve"> FFLs</w:t>
      </w:r>
    </w:p>
    <w:tbl>
      <w:tblPr>
        <w:tblW w:w="0" w:type="auto"/>
        <w:tblLayout w:type="fixed"/>
        <w:tblLook w:val="04A0" w:firstRow="1" w:lastRow="0" w:firstColumn="1" w:lastColumn="0" w:noHBand="0" w:noVBand="1"/>
      </w:tblPr>
      <w:tblGrid>
        <w:gridCol w:w="2790"/>
        <w:gridCol w:w="1260"/>
        <w:gridCol w:w="1080"/>
      </w:tblGrid>
      <w:tr w:rsidR="00127B10" w:rsidRPr="0089347C" w14:paraId="60AEAAFC" w14:textId="77777777" w:rsidTr="004F3768">
        <w:tc>
          <w:tcPr>
            <w:tcW w:w="2790" w:type="dxa"/>
            <w:tcBorders>
              <w:top w:val="single" w:sz="4" w:space="0" w:color="auto"/>
              <w:left w:val="nil"/>
              <w:bottom w:val="nil"/>
              <w:right w:val="nil"/>
            </w:tcBorders>
          </w:tcPr>
          <w:p w14:paraId="5607C75F" w14:textId="77777777" w:rsidR="00127B10" w:rsidRPr="0089347C" w:rsidRDefault="00127B10" w:rsidP="004F3768">
            <w:pPr>
              <w:spacing w:line="240" w:lineRule="auto"/>
              <w:jc w:val="both"/>
              <w:rPr>
                <w:rFonts w:ascii="Garamond" w:hAnsi="Garamond" w:cs="Courier New"/>
              </w:rPr>
            </w:pPr>
          </w:p>
        </w:tc>
        <w:tc>
          <w:tcPr>
            <w:tcW w:w="1260" w:type="dxa"/>
            <w:tcBorders>
              <w:top w:val="single" w:sz="4" w:space="0" w:color="auto"/>
              <w:left w:val="nil"/>
              <w:bottom w:val="nil"/>
              <w:right w:val="nil"/>
            </w:tcBorders>
            <w:hideMark/>
          </w:tcPr>
          <w:p w14:paraId="0378743D" w14:textId="77777777" w:rsidR="00127B10" w:rsidRPr="0089347C" w:rsidRDefault="00127B10" w:rsidP="004F3768">
            <w:pPr>
              <w:spacing w:line="240" w:lineRule="auto"/>
              <w:jc w:val="both"/>
              <w:rPr>
                <w:rFonts w:ascii="Garamond" w:hAnsi="Garamond" w:cs="Courier New"/>
              </w:rPr>
            </w:pPr>
            <w:r w:rsidRPr="006A79B9">
              <w:rPr>
                <w:rFonts w:ascii="Garamond" w:hAnsi="Garamond" w:cs="Courier New"/>
              </w:rPr>
              <w:t>Coef.</w:t>
            </w:r>
          </w:p>
        </w:tc>
        <w:tc>
          <w:tcPr>
            <w:tcW w:w="1080" w:type="dxa"/>
            <w:tcBorders>
              <w:top w:val="single" w:sz="4" w:space="0" w:color="auto"/>
              <w:left w:val="nil"/>
              <w:bottom w:val="nil"/>
              <w:right w:val="nil"/>
            </w:tcBorders>
          </w:tcPr>
          <w:p w14:paraId="3F0FEAC7" w14:textId="77777777" w:rsidR="00127B10" w:rsidRPr="0089347C" w:rsidRDefault="00127B10" w:rsidP="004F3768">
            <w:pPr>
              <w:spacing w:line="240" w:lineRule="auto"/>
              <w:jc w:val="both"/>
              <w:rPr>
                <w:rFonts w:ascii="Garamond" w:hAnsi="Garamond" w:cs="Courier New"/>
              </w:rPr>
            </w:pPr>
            <w:r w:rsidRPr="006A79B9">
              <w:rPr>
                <w:rFonts w:ascii="Garamond" w:hAnsi="Garamond" w:cs="Courier New"/>
              </w:rPr>
              <w:t>Std. Err.</w:t>
            </w:r>
          </w:p>
        </w:tc>
      </w:tr>
      <w:tr w:rsidR="00872C1C" w:rsidRPr="0089347C" w14:paraId="45DCD0F5" w14:textId="77777777" w:rsidTr="00DB6270">
        <w:tc>
          <w:tcPr>
            <w:tcW w:w="2790" w:type="dxa"/>
            <w:tcBorders>
              <w:top w:val="single" w:sz="4" w:space="0" w:color="auto"/>
              <w:left w:val="nil"/>
              <w:bottom w:val="nil"/>
              <w:right w:val="nil"/>
            </w:tcBorders>
            <w:hideMark/>
          </w:tcPr>
          <w:p w14:paraId="27E26575" w14:textId="286F983E"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-1</w:t>
            </w:r>
            <w:r>
              <w:rPr>
                <w:rFonts w:ascii="Garamond" w:hAnsi="Garamond" w:cs="Courier New"/>
              </w:rPr>
              <w:t>2</w:t>
            </w:r>
            <w:r w:rsidRPr="006A79B9">
              <w:rPr>
                <w:rFonts w:ascii="Garamond" w:hAnsi="Garamond" w:cs="Courier New"/>
              </w:rPr>
              <w:t>)</w:t>
            </w:r>
          </w:p>
        </w:tc>
        <w:tc>
          <w:tcPr>
            <w:tcW w:w="1260" w:type="dxa"/>
            <w:tcBorders>
              <w:top w:val="single" w:sz="4" w:space="0" w:color="auto"/>
              <w:left w:val="nil"/>
              <w:bottom w:val="nil"/>
              <w:right w:val="nil"/>
            </w:tcBorders>
          </w:tcPr>
          <w:p w14:paraId="335B002A" w14:textId="6B3E0B05"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-0.128</w:t>
            </w:r>
          </w:p>
        </w:tc>
        <w:tc>
          <w:tcPr>
            <w:tcW w:w="1080" w:type="dxa"/>
            <w:tcBorders>
              <w:top w:val="single" w:sz="4" w:space="0" w:color="auto"/>
              <w:left w:val="nil"/>
              <w:bottom w:val="nil"/>
              <w:right w:val="nil"/>
            </w:tcBorders>
          </w:tcPr>
          <w:p w14:paraId="452209BF" w14:textId="4639A851"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0.225</w:t>
            </w:r>
          </w:p>
        </w:tc>
      </w:tr>
      <w:tr w:rsidR="00872C1C" w:rsidRPr="0089347C" w14:paraId="7F439E08" w14:textId="77777777" w:rsidTr="004F3768">
        <w:tc>
          <w:tcPr>
            <w:tcW w:w="2790" w:type="dxa"/>
          </w:tcPr>
          <w:p w14:paraId="43136093" w14:textId="06EC1E35" w:rsidR="00872C1C" w:rsidRPr="006A79B9"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-1</w:t>
            </w:r>
            <w:r>
              <w:rPr>
                <w:rFonts w:ascii="Garamond" w:hAnsi="Garamond" w:cs="Courier New"/>
              </w:rPr>
              <w:t>1</w:t>
            </w:r>
            <w:r w:rsidRPr="006A79B9">
              <w:rPr>
                <w:rFonts w:ascii="Garamond" w:hAnsi="Garamond" w:cs="Courier New"/>
              </w:rPr>
              <w:t>)</w:t>
            </w:r>
          </w:p>
        </w:tc>
        <w:tc>
          <w:tcPr>
            <w:tcW w:w="1260" w:type="dxa"/>
          </w:tcPr>
          <w:p w14:paraId="596CB95F" w14:textId="2CFAFBAD" w:rsidR="00872C1C" w:rsidRPr="00872C1C" w:rsidRDefault="00872C1C" w:rsidP="00872C1C">
            <w:pPr>
              <w:spacing w:afterLines="40" w:after="96" w:line="240" w:lineRule="auto"/>
              <w:jc w:val="both"/>
              <w:rPr>
                <w:rFonts w:ascii="Garamond" w:hAnsi="Garamond" w:cs="Times New Roman"/>
              </w:rPr>
            </w:pPr>
            <w:r w:rsidRPr="00872C1C">
              <w:rPr>
                <w:rFonts w:ascii="Garamond" w:hAnsi="Garamond" w:cs="Times New Roman"/>
              </w:rPr>
              <w:t>0.066</w:t>
            </w:r>
          </w:p>
        </w:tc>
        <w:tc>
          <w:tcPr>
            <w:tcW w:w="1080" w:type="dxa"/>
          </w:tcPr>
          <w:p w14:paraId="3B1066C6" w14:textId="3395E3EE" w:rsidR="00872C1C" w:rsidRPr="00872C1C" w:rsidRDefault="00872C1C" w:rsidP="00872C1C">
            <w:pPr>
              <w:spacing w:afterLines="40" w:after="96" w:line="240" w:lineRule="auto"/>
              <w:jc w:val="both"/>
              <w:rPr>
                <w:rFonts w:ascii="Garamond" w:hAnsi="Garamond" w:cs="Times New Roman"/>
              </w:rPr>
            </w:pPr>
            <w:r w:rsidRPr="00872C1C">
              <w:rPr>
                <w:rFonts w:ascii="Garamond" w:hAnsi="Garamond" w:cs="Times New Roman"/>
              </w:rPr>
              <w:t>0.227</w:t>
            </w:r>
          </w:p>
        </w:tc>
      </w:tr>
      <w:tr w:rsidR="00872C1C" w:rsidRPr="0089347C" w14:paraId="4767444C" w14:textId="77777777" w:rsidTr="00DB6270">
        <w:tc>
          <w:tcPr>
            <w:tcW w:w="2790" w:type="dxa"/>
            <w:hideMark/>
          </w:tcPr>
          <w:p w14:paraId="43492869"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-10)</w:t>
            </w:r>
          </w:p>
        </w:tc>
        <w:tc>
          <w:tcPr>
            <w:tcW w:w="1260" w:type="dxa"/>
          </w:tcPr>
          <w:p w14:paraId="68A02314" w14:textId="1855F143"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-0.185</w:t>
            </w:r>
          </w:p>
        </w:tc>
        <w:tc>
          <w:tcPr>
            <w:tcW w:w="1080" w:type="dxa"/>
          </w:tcPr>
          <w:p w14:paraId="626E956C" w14:textId="34155BFA"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0.228</w:t>
            </w:r>
          </w:p>
        </w:tc>
      </w:tr>
      <w:tr w:rsidR="00872C1C" w:rsidRPr="0089347C" w14:paraId="1141C05C" w14:textId="77777777" w:rsidTr="00DB6270">
        <w:tc>
          <w:tcPr>
            <w:tcW w:w="2790" w:type="dxa"/>
            <w:hideMark/>
          </w:tcPr>
          <w:p w14:paraId="5FB3FF4F"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-9)</w:t>
            </w:r>
          </w:p>
        </w:tc>
        <w:tc>
          <w:tcPr>
            <w:tcW w:w="1260" w:type="dxa"/>
          </w:tcPr>
          <w:p w14:paraId="17566287" w14:textId="327647FC"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-0.055</w:t>
            </w:r>
          </w:p>
        </w:tc>
        <w:tc>
          <w:tcPr>
            <w:tcW w:w="1080" w:type="dxa"/>
          </w:tcPr>
          <w:p w14:paraId="680E8CF0" w14:textId="7EB450EE"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0.254</w:t>
            </w:r>
          </w:p>
        </w:tc>
      </w:tr>
      <w:tr w:rsidR="00872C1C" w:rsidRPr="0089347C" w14:paraId="1E096F9E" w14:textId="77777777" w:rsidTr="00DB6270">
        <w:tc>
          <w:tcPr>
            <w:tcW w:w="2790" w:type="dxa"/>
            <w:hideMark/>
          </w:tcPr>
          <w:p w14:paraId="227D55DA"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-8)</w:t>
            </w:r>
          </w:p>
        </w:tc>
        <w:tc>
          <w:tcPr>
            <w:tcW w:w="1260" w:type="dxa"/>
          </w:tcPr>
          <w:p w14:paraId="3D534A29" w14:textId="6691B81D"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-0.119</w:t>
            </w:r>
          </w:p>
        </w:tc>
        <w:tc>
          <w:tcPr>
            <w:tcW w:w="1080" w:type="dxa"/>
          </w:tcPr>
          <w:p w14:paraId="3F50E90D" w14:textId="7F5121E6"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0.243</w:t>
            </w:r>
          </w:p>
        </w:tc>
      </w:tr>
      <w:tr w:rsidR="00872C1C" w:rsidRPr="0089347C" w14:paraId="4067F58A" w14:textId="77777777" w:rsidTr="00DB6270">
        <w:tc>
          <w:tcPr>
            <w:tcW w:w="2790" w:type="dxa"/>
            <w:hideMark/>
          </w:tcPr>
          <w:p w14:paraId="6B0BB658"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-7)</w:t>
            </w:r>
          </w:p>
        </w:tc>
        <w:tc>
          <w:tcPr>
            <w:tcW w:w="1260" w:type="dxa"/>
          </w:tcPr>
          <w:p w14:paraId="3B5F45C8" w14:textId="668E6DF0"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-0.332</w:t>
            </w:r>
          </w:p>
        </w:tc>
        <w:tc>
          <w:tcPr>
            <w:tcW w:w="1080" w:type="dxa"/>
          </w:tcPr>
          <w:p w14:paraId="5104CE37" w14:textId="011C73EC"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0.257</w:t>
            </w:r>
          </w:p>
        </w:tc>
      </w:tr>
      <w:tr w:rsidR="00872C1C" w:rsidRPr="0089347C" w14:paraId="03D39C27" w14:textId="77777777" w:rsidTr="00DB6270">
        <w:tc>
          <w:tcPr>
            <w:tcW w:w="2790" w:type="dxa"/>
            <w:hideMark/>
          </w:tcPr>
          <w:p w14:paraId="6F4375A3"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-6)</w:t>
            </w:r>
          </w:p>
        </w:tc>
        <w:tc>
          <w:tcPr>
            <w:tcW w:w="1260" w:type="dxa"/>
          </w:tcPr>
          <w:p w14:paraId="0A04EB80" w14:textId="3B97CF25"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-0.378</w:t>
            </w:r>
          </w:p>
        </w:tc>
        <w:tc>
          <w:tcPr>
            <w:tcW w:w="1080" w:type="dxa"/>
          </w:tcPr>
          <w:p w14:paraId="79CB3595" w14:textId="49F290F0"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0.249</w:t>
            </w:r>
          </w:p>
        </w:tc>
      </w:tr>
      <w:tr w:rsidR="00872C1C" w:rsidRPr="0089347C" w14:paraId="100B9B14" w14:textId="77777777" w:rsidTr="00DB6270">
        <w:tc>
          <w:tcPr>
            <w:tcW w:w="2790" w:type="dxa"/>
            <w:hideMark/>
          </w:tcPr>
          <w:p w14:paraId="681A43EE"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-5)</w:t>
            </w:r>
          </w:p>
        </w:tc>
        <w:tc>
          <w:tcPr>
            <w:tcW w:w="1260" w:type="dxa"/>
          </w:tcPr>
          <w:p w14:paraId="52ACF167" w14:textId="79AF2BF6"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0.137</w:t>
            </w:r>
          </w:p>
        </w:tc>
        <w:tc>
          <w:tcPr>
            <w:tcW w:w="1080" w:type="dxa"/>
          </w:tcPr>
          <w:p w14:paraId="4FB5E47E" w14:textId="50368855"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0.281</w:t>
            </w:r>
          </w:p>
        </w:tc>
      </w:tr>
      <w:tr w:rsidR="00872C1C" w:rsidRPr="0089347C" w14:paraId="50CD7054" w14:textId="77777777" w:rsidTr="00DB6270">
        <w:tc>
          <w:tcPr>
            <w:tcW w:w="2790" w:type="dxa"/>
            <w:hideMark/>
          </w:tcPr>
          <w:p w14:paraId="284917EC"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-4)</w:t>
            </w:r>
          </w:p>
        </w:tc>
        <w:tc>
          <w:tcPr>
            <w:tcW w:w="1260" w:type="dxa"/>
          </w:tcPr>
          <w:p w14:paraId="1727816B" w14:textId="57190A68"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-0.417</w:t>
            </w:r>
          </w:p>
        </w:tc>
        <w:tc>
          <w:tcPr>
            <w:tcW w:w="1080" w:type="dxa"/>
          </w:tcPr>
          <w:p w14:paraId="619CA0B0" w14:textId="76B11656"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0.267</w:t>
            </w:r>
          </w:p>
        </w:tc>
      </w:tr>
      <w:tr w:rsidR="00872C1C" w:rsidRPr="0089347C" w14:paraId="469CA4F9" w14:textId="77777777" w:rsidTr="00DB6270">
        <w:tc>
          <w:tcPr>
            <w:tcW w:w="2790" w:type="dxa"/>
            <w:hideMark/>
          </w:tcPr>
          <w:p w14:paraId="745B3209"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-3)</w:t>
            </w:r>
          </w:p>
        </w:tc>
        <w:tc>
          <w:tcPr>
            <w:tcW w:w="1260" w:type="dxa"/>
          </w:tcPr>
          <w:p w14:paraId="699B7635" w14:textId="02B2EA4A"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-0.166</w:t>
            </w:r>
          </w:p>
        </w:tc>
        <w:tc>
          <w:tcPr>
            <w:tcW w:w="1080" w:type="dxa"/>
          </w:tcPr>
          <w:p w14:paraId="0C12C1AC" w14:textId="24D2D4E7"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0.200</w:t>
            </w:r>
          </w:p>
        </w:tc>
      </w:tr>
      <w:tr w:rsidR="00872C1C" w:rsidRPr="0089347C" w14:paraId="0825F08B" w14:textId="77777777" w:rsidTr="00DB6270">
        <w:tc>
          <w:tcPr>
            <w:tcW w:w="2790" w:type="dxa"/>
            <w:hideMark/>
          </w:tcPr>
          <w:p w14:paraId="0271B4DC"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-2)</w:t>
            </w:r>
          </w:p>
        </w:tc>
        <w:tc>
          <w:tcPr>
            <w:tcW w:w="1260" w:type="dxa"/>
          </w:tcPr>
          <w:p w14:paraId="5F340B93" w14:textId="473E685A"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-0.161</w:t>
            </w:r>
          </w:p>
        </w:tc>
        <w:tc>
          <w:tcPr>
            <w:tcW w:w="1080" w:type="dxa"/>
          </w:tcPr>
          <w:p w14:paraId="6AACF452" w14:textId="40362BA6"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0.277</w:t>
            </w:r>
          </w:p>
        </w:tc>
      </w:tr>
      <w:tr w:rsidR="00872C1C" w:rsidRPr="0089347C" w14:paraId="7A29679C" w14:textId="77777777" w:rsidTr="00DB6270">
        <w:tc>
          <w:tcPr>
            <w:tcW w:w="2790" w:type="dxa"/>
            <w:hideMark/>
          </w:tcPr>
          <w:p w14:paraId="3289B68D"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-1)</w:t>
            </w:r>
          </w:p>
        </w:tc>
        <w:tc>
          <w:tcPr>
            <w:tcW w:w="1260" w:type="dxa"/>
          </w:tcPr>
          <w:p w14:paraId="682CFF95" w14:textId="793548CE"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0.000</w:t>
            </w:r>
          </w:p>
        </w:tc>
        <w:tc>
          <w:tcPr>
            <w:tcW w:w="1080" w:type="dxa"/>
          </w:tcPr>
          <w:p w14:paraId="2155F875" w14:textId="0C370E4F"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w:t>
            </w:r>
          </w:p>
        </w:tc>
      </w:tr>
      <w:tr w:rsidR="00872C1C" w:rsidRPr="0089347C" w14:paraId="4A58464B" w14:textId="77777777" w:rsidTr="00DB6270">
        <w:tc>
          <w:tcPr>
            <w:tcW w:w="2790" w:type="dxa"/>
            <w:hideMark/>
          </w:tcPr>
          <w:p w14:paraId="2178B3F9"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Treatment (t = 0)</w:t>
            </w:r>
          </w:p>
        </w:tc>
        <w:tc>
          <w:tcPr>
            <w:tcW w:w="1260" w:type="dxa"/>
          </w:tcPr>
          <w:p w14:paraId="2E9D2B4E" w14:textId="372CAFC3"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-0.147</w:t>
            </w:r>
          </w:p>
        </w:tc>
        <w:tc>
          <w:tcPr>
            <w:tcW w:w="1080" w:type="dxa"/>
          </w:tcPr>
          <w:p w14:paraId="5E930CA0" w14:textId="485F951F"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0.183</w:t>
            </w:r>
          </w:p>
        </w:tc>
      </w:tr>
      <w:tr w:rsidR="00872C1C" w:rsidRPr="0089347C" w14:paraId="273A8C50" w14:textId="77777777" w:rsidTr="00DB6270">
        <w:tc>
          <w:tcPr>
            <w:tcW w:w="2790" w:type="dxa"/>
            <w:hideMark/>
          </w:tcPr>
          <w:p w14:paraId="378D81DD"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1)</w:t>
            </w:r>
          </w:p>
        </w:tc>
        <w:tc>
          <w:tcPr>
            <w:tcW w:w="1260" w:type="dxa"/>
          </w:tcPr>
          <w:p w14:paraId="4ABBD43A" w14:textId="1647AEA8"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-0.326</w:t>
            </w:r>
          </w:p>
        </w:tc>
        <w:tc>
          <w:tcPr>
            <w:tcW w:w="1080" w:type="dxa"/>
          </w:tcPr>
          <w:p w14:paraId="22C97FDA" w14:textId="57042B30"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0.196</w:t>
            </w:r>
          </w:p>
        </w:tc>
      </w:tr>
      <w:tr w:rsidR="00872C1C" w:rsidRPr="0089347C" w14:paraId="09FBD685" w14:textId="77777777" w:rsidTr="00DB6270">
        <w:tc>
          <w:tcPr>
            <w:tcW w:w="2790" w:type="dxa"/>
            <w:hideMark/>
          </w:tcPr>
          <w:p w14:paraId="0C25A2CC"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2)</w:t>
            </w:r>
          </w:p>
        </w:tc>
        <w:tc>
          <w:tcPr>
            <w:tcW w:w="1260" w:type="dxa"/>
          </w:tcPr>
          <w:p w14:paraId="1AE31566" w14:textId="55F9A734"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0.321</w:t>
            </w:r>
          </w:p>
        </w:tc>
        <w:tc>
          <w:tcPr>
            <w:tcW w:w="1080" w:type="dxa"/>
          </w:tcPr>
          <w:p w14:paraId="14B8A0C1" w14:textId="65905CC4"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0.249</w:t>
            </w:r>
          </w:p>
        </w:tc>
      </w:tr>
      <w:tr w:rsidR="00872C1C" w:rsidRPr="0089347C" w14:paraId="6392E8E3" w14:textId="77777777" w:rsidTr="00DB6270">
        <w:tc>
          <w:tcPr>
            <w:tcW w:w="2790" w:type="dxa"/>
            <w:hideMark/>
          </w:tcPr>
          <w:p w14:paraId="1D616DF5"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3)</w:t>
            </w:r>
          </w:p>
        </w:tc>
        <w:tc>
          <w:tcPr>
            <w:tcW w:w="1260" w:type="dxa"/>
          </w:tcPr>
          <w:p w14:paraId="3DC407FA" w14:textId="6E43B41A"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0.074</w:t>
            </w:r>
          </w:p>
        </w:tc>
        <w:tc>
          <w:tcPr>
            <w:tcW w:w="1080" w:type="dxa"/>
          </w:tcPr>
          <w:p w14:paraId="2472CF99" w14:textId="36612EAD"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0.251</w:t>
            </w:r>
          </w:p>
        </w:tc>
      </w:tr>
      <w:tr w:rsidR="00872C1C" w:rsidRPr="0089347C" w14:paraId="228F5887" w14:textId="77777777" w:rsidTr="00DB6270">
        <w:tc>
          <w:tcPr>
            <w:tcW w:w="2790" w:type="dxa"/>
            <w:hideMark/>
          </w:tcPr>
          <w:p w14:paraId="15FD312C"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4)</w:t>
            </w:r>
          </w:p>
        </w:tc>
        <w:tc>
          <w:tcPr>
            <w:tcW w:w="1260" w:type="dxa"/>
          </w:tcPr>
          <w:p w14:paraId="2D541D42" w14:textId="4948659C"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-0.348</w:t>
            </w:r>
          </w:p>
        </w:tc>
        <w:tc>
          <w:tcPr>
            <w:tcW w:w="1080" w:type="dxa"/>
          </w:tcPr>
          <w:p w14:paraId="0EF33044" w14:textId="796EE570"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0.280</w:t>
            </w:r>
          </w:p>
        </w:tc>
      </w:tr>
      <w:tr w:rsidR="00872C1C" w:rsidRPr="0089347C" w14:paraId="6F6A3599" w14:textId="77777777" w:rsidTr="00DB6270">
        <w:tc>
          <w:tcPr>
            <w:tcW w:w="2790" w:type="dxa"/>
            <w:hideMark/>
          </w:tcPr>
          <w:p w14:paraId="7043F2E1"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5)</w:t>
            </w:r>
          </w:p>
        </w:tc>
        <w:tc>
          <w:tcPr>
            <w:tcW w:w="1260" w:type="dxa"/>
          </w:tcPr>
          <w:p w14:paraId="79C998A5" w14:textId="2E64FCBD"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0.366</w:t>
            </w:r>
          </w:p>
        </w:tc>
        <w:tc>
          <w:tcPr>
            <w:tcW w:w="1080" w:type="dxa"/>
          </w:tcPr>
          <w:p w14:paraId="45F1FC55" w14:textId="7340ACA8"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0.228</w:t>
            </w:r>
          </w:p>
        </w:tc>
      </w:tr>
      <w:tr w:rsidR="00872C1C" w:rsidRPr="0089347C" w14:paraId="1FD383B0" w14:textId="77777777" w:rsidTr="00DB6270">
        <w:tc>
          <w:tcPr>
            <w:tcW w:w="2790" w:type="dxa"/>
            <w:hideMark/>
          </w:tcPr>
          <w:p w14:paraId="58971DED"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6)</w:t>
            </w:r>
          </w:p>
        </w:tc>
        <w:tc>
          <w:tcPr>
            <w:tcW w:w="1260" w:type="dxa"/>
          </w:tcPr>
          <w:p w14:paraId="3863E3F1" w14:textId="132CAC9C"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0.012</w:t>
            </w:r>
          </w:p>
        </w:tc>
        <w:tc>
          <w:tcPr>
            <w:tcW w:w="1080" w:type="dxa"/>
          </w:tcPr>
          <w:p w14:paraId="6B2C5C08" w14:textId="33E68EA6"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0.238</w:t>
            </w:r>
          </w:p>
        </w:tc>
      </w:tr>
      <w:tr w:rsidR="00872C1C" w:rsidRPr="0089347C" w14:paraId="5BF5DFB5" w14:textId="77777777" w:rsidTr="00DB6270">
        <w:tc>
          <w:tcPr>
            <w:tcW w:w="2790" w:type="dxa"/>
            <w:hideMark/>
          </w:tcPr>
          <w:p w14:paraId="106FB641"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7)</w:t>
            </w:r>
          </w:p>
        </w:tc>
        <w:tc>
          <w:tcPr>
            <w:tcW w:w="1260" w:type="dxa"/>
          </w:tcPr>
          <w:p w14:paraId="28AFA1BF" w14:textId="2EFB5610"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0.221</w:t>
            </w:r>
          </w:p>
        </w:tc>
        <w:tc>
          <w:tcPr>
            <w:tcW w:w="1080" w:type="dxa"/>
          </w:tcPr>
          <w:p w14:paraId="74DCF6D3" w14:textId="7B2182E5"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0.274</w:t>
            </w:r>
          </w:p>
        </w:tc>
      </w:tr>
      <w:tr w:rsidR="00872C1C" w:rsidRPr="0089347C" w14:paraId="31F54F5B" w14:textId="77777777" w:rsidTr="00DB6270">
        <w:tc>
          <w:tcPr>
            <w:tcW w:w="2790" w:type="dxa"/>
            <w:hideMark/>
          </w:tcPr>
          <w:p w14:paraId="029401B1"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8)</w:t>
            </w:r>
          </w:p>
        </w:tc>
        <w:tc>
          <w:tcPr>
            <w:tcW w:w="1260" w:type="dxa"/>
          </w:tcPr>
          <w:p w14:paraId="03119C1A" w14:textId="4FA77849"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-0.076</w:t>
            </w:r>
          </w:p>
        </w:tc>
        <w:tc>
          <w:tcPr>
            <w:tcW w:w="1080" w:type="dxa"/>
          </w:tcPr>
          <w:p w14:paraId="559E38C9" w14:textId="66BE7457"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0.341</w:t>
            </w:r>
          </w:p>
        </w:tc>
      </w:tr>
      <w:tr w:rsidR="00872C1C" w:rsidRPr="0089347C" w14:paraId="590AA66D" w14:textId="77777777" w:rsidTr="00DB6270">
        <w:tc>
          <w:tcPr>
            <w:tcW w:w="2790" w:type="dxa"/>
            <w:hideMark/>
          </w:tcPr>
          <w:p w14:paraId="2AF22E2D"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9)</w:t>
            </w:r>
          </w:p>
        </w:tc>
        <w:tc>
          <w:tcPr>
            <w:tcW w:w="1260" w:type="dxa"/>
          </w:tcPr>
          <w:p w14:paraId="27E23F34" w14:textId="3382160E"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-0.203</w:t>
            </w:r>
          </w:p>
        </w:tc>
        <w:tc>
          <w:tcPr>
            <w:tcW w:w="1080" w:type="dxa"/>
          </w:tcPr>
          <w:p w14:paraId="2D9F72FA" w14:textId="2094F8DF"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0.216</w:t>
            </w:r>
          </w:p>
        </w:tc>
      </w:tr>
      <w:tr w:rsidR="00872C1C" w:rsidRPr="0089347C" w14:paraId="272D8C31" w14:textId="77777777" w:rsidTr="00DB6270">
        <w:tc>
          <w:tcPr>
            <w:tcW w:w="2790" w:type="dxa"/>
            <w:hideMark/>
          </w:tcPr>
          <w:p w14:paraId="089F99FD"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10)</w:t>
            </w:r>
          </w:p>
        </w:tc>
        <w:tc>
          <w:tcPr>
            <w:tcW w:w="1260" w:type="dxa"/>
          </w:tcPr>
          <w:p w14:paraId="6DE33215" w14:textId="0E1C3810"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0.099</w:t>
            </w:r>
          </w:p>
        </w:tc>
        <w:tc>
          <w:tcPr>
            <w:tcW w:w="1080" w:type="dxa"/>
          </w:tcPr>
          <w:p w14:paraId="40055228" w14:textId="6B9F885D"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0.254</w:t>
            </w:r>
          </w:p>
        </w:tc>
      </w:tr>
      <w:tr w:rsidR="00872C1C" w:rsidRPr="0089347C" w14:paraId="32511209" w14:textId="77777777" w:rsidTr="00DB6270">
        <w:tc>
          <w:tcPr>
            <w:tcW w:w="2790" w:type="dxa"/>
            <w:hideMark/>
          </w:tcPr>
          <w:p w14:paraId="19680E77"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11)</w:t>
            </w:r>
          </w:p>
        </w:tc>
        <w:tc>
          <w:tcPr>
            <w:tcW w:w="1260" w:type="dxa"/>
          </w:tcPr>
          <w:p w14:paraId="47FFBCD4" w14:textId="623F4DB8"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-0.127</w:t>
            </w:r>
          </w:p>
        </w:tc>
        <w:tc>
          <w:tcPr>
            <w:tcW w:w="1080" w:type="dxa"/>
          </w:tcPr>
          <w:p w14:paraId="38FBE370" w14:textId="31958873"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0.223</w:t>
            </w:r>
          </w:p>
        </w:tc>
      </w:tr>
      <w:tr w:rsidR="00872C1C" w:rsidRPr="0089347C" w14:paraId="5B5E35E2" w14:textId="77777777" w:rsidTr="00DB6270">
        <w:tc>
          <w:tcPr>
            <w:tcW w:w="2790" w:type="dxa"/>
            <w:hideMark/>
          </w:tcPr>
          <w:p w14:paraId="6B2DAEA5"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12)</w:t>
            </w:r>
          </w:p>
        </w:tc>
        <w:tc>
          <w:tcPr>
            <w:tcW w:w="1260" w:type="dxa"/>
          </w:tcPr>
          <w:p w14:paraId="5291E5CE" w14:textId="50A0803D"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0.009</w:t>
            </w:r>
          </w:p>
        </w:tc>
        <w:tc>
          <w:tcPr>
            <w:tcW w:w="1080" w:type="dxa"/>
          </w:tcPr>
          <w:p w14:paraId="4229DF09" w14:textId="3864838B"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0.224</w:t>
            </w:r>
          </w:p>
        </w:tc>
      </w:tr>
      <w:tr w:rsidR="00DB6270" w:rsidRPr="006A79B9" w14:paraId="7DA13972" w14:textId="77777777" w:rsidTr="004F3768">
        <w:tc>
          <w:tcPr>
            <w:tcW w:w="2790" w:type="dxa"/>
          </w:tcPr>
          <w:p w14:paraId="4846023B" w14:textId="77777777" w:rsidR="00DB6270" w:rsidRPr="006A79B9" w:rsidRDefault="00DB6270" w:rsidP="00DB6270">
            <w:pPr>
              <w:spacing w:line="240" w:lineRule="auto"/>
              <w:jc w:val="both"/>
              <w:rPr>
                <w:rFonts w:ascii="Garamond" w:hAnsi="Garamond" w:cs="Courier New"/>
              </w:rPr>
            </w:pPr>
          </w:p>
        </w:tc>
        <w:tc>
          <w:tcPr>
            <w:tcW w:w="1260" w:type="dxa"/>
          </w:tcPr>
          <w:p w14:paraId="40D07730" w14:textId="77777777" w:rsidR="00DB6270" w:rsidRPr="00872C1C" w:rsidRDefault="00DB6270" w:rsidP="00DB6270">
            <w:pPr>
              <w:spacing w:line="240" w:lineRule="auto"/>
              <w:jc w:val="both"/>
              <w:rPr>
                <w:rFonts w:ascii="Garamond" w:hAnsi="Garamond" w:cs="Courier New"/>
              </w:rPr>
            </w:pPr>
          </w:p>
        </w:tc>
        <w:tc>
          <w:tcPr>
            <w:tcW w:w="1080" w:type="dxa"/>
          </w:tcPr>
          <w:p w14:paraId="1879398B" w14:textId="77777777" w:rsidR="00DB6270" w:rsidRPr="00872C1C" w:rsidRDefault="00DB6270" w:rsidP="00DB6270">
            <w:pPr>
              <w:spacing w:line="240" w:lineRule="auto"/>
              <w:jc w:val="both"/>
              <w:rPr>
                <w:rFonts w:ascii="Garamond" w:hAnsi="Garamond" w:cs="Courier New"/>
              </w:rPr>
            </w:pPr>
          </w:p>
        </w:tc>
      </w:tr>
      <w:tr w:rsidR="00DB6270" w:rsidRPr="0089347C" w14:paraId="3ADE2488" w14:textId="77777777" w:rsidTr="004F3768">
        <w:tc>
          <w:tcPr>
            <w:tcW w:w="2790" w:type="dxa"/>
            <w:tcBorders>
              <w:top w:val="nil"/>
              <w:left w:val="nil"/>
              <w:bottom w:val="single" w:sz="4" w:space="0" w:color="auto"/>
              <w:right w:val="nil"/>
            </w:tcBorders>
            <w:hideMark/>
          </w:tcPr>
          <w:p w14:paraId="2D25D435" w14:textId="77777777" w:rsidR="00DB6270" w:rsidRPr="0089347C" w:rsidRDefault="00DB6270" w:rsidP="00DB6270">
            <w:pPr>
              <w:spacing w:line="240" w:lineRule="auto"/>
              <w:jc w:val="both"/>
              <w:rPr>
                <w:rFonts w:ascii="Garamond" w:hAnsi="Garamond" w:cs="Courier New"/>
              </w:rPr>
            </w:pPr>
            <w:r w:rsidRPr="0089347C">
              <w:rPr>
                <w:rFonts w:ascii="Garamond" w:hAnsi="Garamond" w:cs="Courier New"/>
              </w:rPr>
              <w:t>Constant</w:t>
            </w:r>
          </w:p>
        </w:tc>
        <w:tc>
          <w:tcPr>
            <w:tcW w:w="1260" w:type="dxa"/>
            <w:tcBorders>
              <w:top w:val="nil"/>
              <w:left w:val="nil"/>
              <w:bottom w:val="single" w:sz="4" w:space="0" w:color="auto"/>
              <w:right w:val="nil"/>
            </w:tcBorders>
            <w:hideMark/>
          </w:tcPr>
          <w:p w14:paraId="1F4AD098" w14:textId="03174E1B" w:rsidR="00DB6270" w:rsidRPr="00872C1C" w:rsidRDefault="00DB6270" w:rsidP="00DB6270">
            <w:pPr>
              <w:spacing w:line="240" w:lineRule="auto"/>
              <w:jc w:val="both"/>
              <w:rPr>
                <w:rFonts w:ascii="Garamond" w:hAnsi="Garamond" w:cs="Courier New"/>
              </w:rPr>
            </w:pPr>
            <w:r w:rsidRPr="00872C1C">
              <w:rPr>
                <w:rFonts w:ascii="Garamond" w:hAnsi="Garamond" w:cs="Times New Roman"/>
              </w:rPr>
              <w:t>1.</w:t>
            </w:r>
            <w:r w:rsidR="00872C1C" w:rsidRPr="00872C1C">
              <w:rPr>
                <w:rFonts w:ascii="Garamond" w:hAnsi="Garamond" w:cs="Times New Roman"/>
              </w:rPr>
              <w:t>829</w:t>
            </w:r>
            <w:r w:rsidRPr="00872C1C">
              <w:rPr>
                <w:rFonts w:ascii="Garamond" w:hAnsi="Garamond" w:cs="Times New Roman"/>
                <w:vertAlign w:val="superscript"/>
              </w:rPr>
              <w:t>***</w:t>
            </w:r>
          </w:p>
        </w:tc>
        <w:tc>
          <w:tcPr>
            <w:tcW w:w="1080" w:type="dxa"/>
            <w:tcBorders>
              <w:top w:val="nil"/>
              <w:left w:val="nil"/>
              <w:bottom w:val="single" w:sz="4" w:space="0" w:color="auto"/>
              <w:right w:val="nil"/>
            </w:tcBorders>
            <w:hideMark/>
          </w:tcPr>
          <w:p w14:paraId="14311ACF" w14:textId="301C16C9" w:rsidR="00DB6270" w:rsidRPr="00872C1C" w:rsidRDefault="00DB6270" w:rsidP="00DB6270">
            <w:pPr>
              <w:spacing w:line="240" w:lineRule="auto"/>
              <w:jc w:val="both"/>
              <w:rPr>
                <w:rFonts w:ascii="Garamond" w:hAnsi="Garamond" w:cs="Courier New"/>
              </w:rPr>
            </w:pPr>
            <w:r w:rsidRPr="00872C1C">
              <w:rPr>
                <w:rFonts w:ascii="Garamond" w:hAnsi="Garamond" w:cs="Times New Roman"/>
              </w:rPr>
              <w:t>0.</w:t>
            </w:r>
            <w:r w:rsidR="00872C1C" w:rsidRPr="00872C1C">
              <w:rPr>
                <w:rFonts w:ascii="Garamond" w:hAnsi="Garamond" w:cs="Times New Roman"/>
              </w:rPr>
              <w:t>10</w:t>
            </w:r>
            <w:r w:rsidRPr="00872C1C">
              <w:rPr>
                <w:rFonts w:ascii="Garamond" w:hAnsi="Garamond" w:cs="Times New Roman"/>
              </w:rPr>
              <w:t>7</w:t>
            </w:r>
          </w:p>
        </w:tc>
      </w:tr>
      <w:tr w:rsidR="00DB6270" w:rsidRPr="0089347C" w14:paraId="7AFFF091" w14:textId="77777777" w:rsidTr="004F3768">
        <w:tc>
          <w:tcPr>
            <w:tcW w:w="2790" w:type="dxa"/>
            <w:tcBorders>
              <w:top w:val="nil"/>
              <w:left w:val="nil"/>
              <w:bottom w:val="single" w:sz="4" w:space="0" w:color="auto"/>
              <w:right w:val="nil"/>
            </w:tcBorders>
            <w:hideMark/>
          </w:tcPr>
          <w:p w14:paraId="772C4B1F" w14:textId="77777777" w:rsidR="00DB6270" w:rsidRPr="006A79B9" w:rsidRDefault="00DB6270" w:rsidP="00DB6270">
            <w:pPr>
              <w:spacing w:line="240" w:lineRule="auto"/>
              <w:jc w:val="both"/>
              <w:rPr>
                <w:rFonts w:ascii="Garamond" w:hAnsi="Garamond" w:cs="Courier New"/>
              </w:rPr>
            </w:pPr>
            <w:r w:rsidRPr="0089347C">
              <w:rPr>
                <w:rFonts w:ascii="Garamond" w:hAnsi="Garamond" w:cs="Courier New"/>
              </w:rPr>
              <w:t>Observations</w:t>
            </w:r>
          </w:p>
          <w:p w14:paraId="794ADCAB" w14:textId="77777777" w:rsidR="00DB6270" w:rsidRPr="0089347C" w:rsidRDefault="00DB6270" w:rsidP="00DB6270">
            <w:pPr>
              <w:spacing w:line="240" w:lineRule="auto"/>
              <w:jc w:val="both"/>
              <w:rPr>
                <w:rFonts w:ascii="Garamond" w:hAnsi="Garamond" w:cs="Courier New"/>
              </w:rPr>
            </w:pPr>
            <w:r w:rsidRPr="006A79B9">
              <w:rPr>
                <w:rFonts w:ascii="Garamond" w:hAnsi="Garamond" w:cs="Courier New"/>
              </w:rPr>
              <w:t>Clusters</w:t>
            </w:r>
          </w:p>
        </w:tc>
        <w:tc>
          <w:tcPr>
            <w:tcW w:w="1260" w:type="dxa"/>
            <w:tcBorders>
              <w:top w:val="nil"/>
              <w:left w:val="nil"/>
              <w:bottom w:val="single" w:sz="4" w:space="0" w:color="auto"/>
              <w:right w:val="nil"/>
            </w:tcBorders>
            <w:hideMark/>
          </w:tcPr>
          <w:p w14:paraId="4800886D" w14:textId="1902D090" w:rsidR="00DB6270" w:rsidRPr="006A79B9" w:rsidRDefault="00DB6270" w:rsidP="00DB6270">
            <w:pPr>
              <w:spacing w:line="240" w:lineRule="auto"/>
              <w:jc w:val="both"/>
              <w:rPr>
                <w:rFonts w:ascii="Garamond" w:hAnsi="Garamond" w:cs="Courier New"/>
              </w:rPr>
            </w:pPr>
            <w:r w:rsidRPr="0089347C">
              <w:rPr>
                <w:rFonts w:ascii="Garamond" w:hAnsi="Garamond" w:cs="Courier New"/>
              </w:rPr>
              <w:t>11</w:t>
            </w:r>
            <w:r>
              <w:rPr>
                <w:rFonts w:ascii="Garamond" w:hAnsi="Garamond" w:cs="Courier New"/>
              </w:rPr>
              <w:t>50</w:t>
            </w:r>
          </w:p>
          <w:p w14:paraId="577EA49F" w14:textId="77777777" w:rsidR="00DB6270" w:rsidRPr="0089347C" w:rsidRDefault="00DB6270" w:rsidP="00DB6270">
            <w:pPr>
              <w:spacing w:line="240" w:lineRule="auto"/>
              <w:jc w:val="both"/>
              <w:rPr>
                <w:rFonts w:ascii="Garamond" w:hAnsi="Garamond" w:cs="Courier New"/>
              </w:rPr>
            </w:pPr>
            <w:r w:rsidRPr="006A79B9">
              <w:rPr>
                <w:rFonts w:ascii="Garamond" w:hAnsi="Garamond" w:cs="Courier New"/>
              </w:rPr>
              <w:t>46</w:t>
            </w:r>
          </w:p>
        </w:tc>
        <w:tc>
          <w:tcPr>
            <w:tcW w:w="1080" w:type="dxa"/>
            <w:tcBorders>
              <w:top w:val="nil"/>
              <w:left w:val="nil"/>
              <w:bottom w:val="single" w:sz="4" w:space="0" w:color="auto"/>
              <w:right w:val="nil"/>
            </w:tcBorders>
          </w:tcPr>
          <w:p w14:paraId="307E5E99" w14:textId="77777777" w:rsidR="00DB6270" w:rsidRPr="0089347C" w:rsidRDefault="00DB6270" w:rsidP="00DB6270">
            <w:pPr>
              <w:spacing w:line="240" w:lineRule="auto"/>
              <w:jc w:val="both"/>
              <w:rPr>
                <w:rFonts w:ascii="Garamond" w:hAnsi="Garamond" w:cs="Courier New"/>
              </w:rPr>
            </w:pPr>
          </w:p>
        </w:tc>
      </w:tr>
    </w:tbl>
    <w:p w14:paraId="322B2725" w14:textId="77777777" w:rsidR="00126168" w:rsidRPr="006A79B9" w:rsidRDefault="00126168" w:rsidP="00126168">
      <w:pPr>
        <w:spacing w:line="240" w:lineRule="auto"/>
        <w:jc w:val="both"/>
        <w:rPr>
          <w:rFonts w:ascii="Garamond" w:hAnsi="Garamond" w:cs="Courier New"/>
        </w:rPr>
      </w:pPr>
      <w:r w:rsidRPr="006A79B9">
        <w:rPr>
          <w:rFonts w:ascii="Garamond" w:hAnsi="Garamond" w:cstheme="minorHAnsi"/>
        </w:rPr>
        <w:t xml:space="preserve">Notes: </w:t>
      </w:r>
      <w:r w:rsidRPr="006A79B9">
        <w:rPr>
          <w:rFonts w:ascii="Garamond" w:hAnsi="Garamond" w:cs="Courier New"/>
        </w:rPr>
        <w:t xml:space="preserve">Poisson Pseudo-Maximum Likelihood model. </w:t>
      </w:r>
    </w:p>
    <w:p w14:paraId="3C897FB9" w14:textId="0365CCC9" w:rsidR="00126168" w:rsidRDefault="00126168" w:rsidP="00126168">
      <w:pPr>
        <w:spacing w:line="240" w:lineRule="auto"/>
        <w:jc w:val="both"/>
        <w:rPr>
          <w:rFonts w:ascii="Garamond" w:hAnsi="Garamond" w:cstheme="minorHAnsi"/>
        </w:rPr>
      </w:pPr>
      <w:r w:rsidRPr="006A79B9">
        <w:rPr>
          <w:rFonts w:ascii="Garamond" w:hAnsi="Garamond" w:cs="Courier New"/>
        </w:rPr>
        <w:t>S</w:t>
      </w:r>
      <w:r w:rsidRPr="006A79B9">
        <w:rPr>
          <w:rFonts w:ascii="Garamond" w:hAnsi="Garamond" w:cstheme="minorHAnsi"/>
        </w:rPr>
        <w:t xml:space="preserve">tandard errors clustered by state. </w:t>
      </w:r>
      <w:r w:rsidR="0066488C">
        <w:rPr>
          <w:rFonts w:ascii="Garamond" w:hAnsi="Garamond" w:cstheme="minorHAnsi"/>
        </w:rPr>
        <w:t>Estimates are</w:t>
      </w:r>
    </w:p>
    <w:p w14:paraId="5D23BBA2" w14:textId="74A7DAB4" w:rsidR="0066488C" w:rsidRPr="006A79B9" w:rsidRDefault="0066488C" w:rsidP="00126168">
      <w:pPr>
        <w:spacing w:line="240" w:lineRule="auto"/>
        <w:jc w:val="both"/>
        <w:rPr>
          <w:rFonts w:ascii="Garamond" w:hAnsi="Garamond" w:cstheme="minorHAnsi"/>
        </w:rPr>
      </w:pPr>
      <w:r>
        <w:rPr>
          <w:rFonts w:ascii="Garamond" w:hAnsi="Garamond" w:cstheme="minorHAnsi"/>
        </w:rPr>
        <w:t xml:space="preserve">displayed visually in Figure </w:t>
      </w:r>
      <w:r w:rsidR="00A52486">
        <w:rPr>
          <w:rFonts w:ascii="Garamond" w:hAnsi="Garamond" w:cstheme="minorHAnsi"/>
        </w:rPr>
        <w:t>4</w:t>
      </w:r>
      <w:r>
        <w:rPr>
          <w:rFonts w:ascii="Garamond" w:hAnsi="Garamond" w:cstheme="minorHAnsi"/>
        </w:rPr>
        <w:t xml:space="preserve">. </w:t>
      </w:r>
    </w:p>
    <w:p w14:paraId="01F5A86A" w14:textId="34DF1822" w:rsidR="00126168" w:rsidRPr="006A79B9" w:rsidRDefault="00126168" w:rsidP="00126168">
      <w:pPr>
        <w:spacing w:line="240" w:lineRule="auto"/>
        <w:jc w:val="both"/>
        <w:rPr>
          <w:rFonts w:ascii="Garamond" w:hAnsi="Garamond" w:cstheme="minorHAnsi"/>
        </w:rPr>
      </w:pP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0.05, </w:t>
      </w: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0.01, </w:t>
      </w: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0.001</w:t>
      </w:r>
    </w:p>
    <w:p w14:paraId="791D857D" w14:textId="77777777" w:rsidR="007C0AA7" w:rsidRPr="004D04A3" w:rsidRDefault="007C0AA7" w:rsidP="00127B10">
      <w:pPr>
        <w:spacing w:line="240" w:lineRule="auto"/>
        <w:jc w:val="both"/>
        <w:rPr>
          <w:rFonts w:ascii="Garamond" w:hAnsi="Garamond" w:cs="Courier New"/>
        </w:rPr>
      </w:pPr>
    </w:p>
    <w:p w14:paraId="75CD490C" w14:textId="5965D6CD" w:rsidR="00BD7F3C" w:rsidRPr="0089347C" w:rsidRDefault="00BD7F3C" w:rsidP="00BD7F3C">
      <w:pPr>
        <w:spacing w:line="240" w:lineRule="auto"/>
        <w:jc w:val="both"/>
        <w:rPr>
          <w:rFonts w:ascii="Garamond" w:hAnsi="Garamond" w:cs="Courier New"/>
          <w:b/>
          <w:bCs/>
        </w:rPr>
      </w:pPr>
      <w:r w:rsidRPr="006A79B9">
        <w:rPr>
          <w:rFonts w:ascii="Garamond" w:hAnsi="Garamond" w:cs="Courier New"/>
          <w:b/>
          <w:bCs/>
        </w:rPr>
        <w:t xml:space="preserve">Appendix Table </w:t>
      </w:r>
      <w:r w:rsidR="00C110BE">
        <w:rPr>
          <w:rFonts w:ascii="Garamond" w:hAnsi="Garamond" w:cs="Courier New"/>
          <w:b/>
          <w:bCs/>
        </w:rPr>
        <w:t>A</w:t>
      </w:r>
      <w:r w:rsidRPr="006A79B9">
        <w:rPr>
          <w:rFonts w:ascii="Garamond" w:hAnsi="Garamond" w:cs="Courier New"/>
          <w:b/>
          <w:bCs/>
        </w:rPr>
        <w:t xml:space="preserve">2. </w:t>
      </w:r>
      <w:r w:rsidRPr="004D04A3">
        <w:rPr>
          <w:rFonts w:ascii="Garamond" w:hAnsi="Garamond" w:cs="Courier New"/>
          <w:b/>
          <w:bCs/>
        </w:rPr>
        <w:t>Event Study Estimates</w:t>
      </w:r>
      <w:r w:rsidRPr="006A79B9">
        <w:rPr>
          <w:rFonts w:ascii="Garamond" w:hAnsi="Garamond" w:cs="Courier New"/>
          <w:b/>
          <w:bCs/>
        </w:rPr>
        <w:t>: Background Checks</w:t>
      </w:r>
    </w:p>
    <w:tbl>
      <w:tblPr>
        <w:tblW w:w="0" w:type="auto"/>
        <w:tblLayout w:type="fixed"/>
        <w:tblLook w:val="04A0" w:firstRow="1" w:lastRow="0" w:firstColumn="1" w:lastColumn="0" w:noHBand="0" w:noVBand="1"/>
      </w:tblPr>
      <w:tblGrid>
        <w:gridCol w:w="2790"/>
        <w:gridCol w:w="1260"/>
        <w:gridCol w:w="1080"/>
      </w:tblGrid>
      <w:tr w:rsidR="00BD7F3C" w:rsidRPr="0089347C" w14:paraId="1B315296" w14:textId="77777777" w:rsidTr="004F3768">
        <w:tc>
          <w:tcPr>
            <w:tcW w:w="2790" w:type="dxa"/>
            <w:tcBorders>
              <w:top w:val="single" w:sz="4" w:space="0" w:color="auto"/>
              <w:left w:val="nil"/>
              <w:bottom w:val="nil"/>
              <w:right w:val="nil"/>
            </w:tcBorders>
          </w:tcPr>
          <w:p w14:paraId="5F784B57" w14:textId="77777777" w:rsidR="00BD7F3C" w:rsidRPr="0089347C" w:rsidRDefault="00BD7F3C" w:rsidP="004F3768">
            <w:pPr>
              <w:spacing w:line="240" w:lineRule="auto"/>
              <w:jc w:val="both"/>
              <w:rPr>
                <w:rFonts w:ascii="Garamond" w:hAnsi="Garamond" w:cs="Courier New"/>
              </w:rPr>
            </w:pPr>
          </w:p>
        </w:tc>
        <w:tc>
          <w:tcPr>
            <w:tcW w:w="1260" w:type="dxa"/>
            <w:tcBorders>
              <w:top w:val="single" w:sz="4" w:space="0" w:color="auto"/>
              <w:left w:val="nil"/>
              <w:bottom w:val="nil"/>
              <w:right w:val="nil"/>
            </w:tcBorders>
            <w:hideMark/>
          </w:tcPr>
          <w:p w14:paraId="24EF3DB8" w14:textId="77777777" w:rsidR="00BD7F3C" w:rsidRPr="0089347C" w:rsidRDefault="00BD7F3C" w:rsidP="004F3768">
            <w:pPr>
              <w:spacing w:line="240" w:lineRule="auto"/>
              <w:jc w:val="both"/>
              <w:rPr>
                <w:rFonts w:ascii="Garamond" w:hAnsi="Garamond" w:cs="Courier New"/>
              </w:rPr>
            </w:pPr>
            <w:r w:rsidRPr="006A79B9">
              <w:rPr>
                <w:rFonts w:ascii="Garamond" w:hAnsi="Garamond" w:cs="Courier New"/>
              </w:rPr>
              <w:t>Coef.</w:t>
            </w:r>
          </w:p>
        </w:tc>
        <w:tc>
          <w:tcPr>
            <w:tcW w:w="1080" w:type="dxa"/>
            <w:tcBorders>
              <w:top w:val="single" w:sz="4" w:space="0" w:color="auto"/>
              <w:left w:val="nil"/>
              <w:bottom w:val="nil"/>
              <w:right w:val="nil"/>
            </w:tcBorders>
          </w:tcPr>
          <w:p w14:paraId="091F9204" w14:textId="77777777" w:rsidR="00BD7F3C" w:rsidRPr="0089347C" w:rsidRDefault="00BD7F3C" w:rsidP="004F3768">
            <w:pPr>
              <w:spacing w:line="240" w:lineRule="auto"/>
              <w:jc w:val="both"/>
              <w:rPr>
                <w:rFonts w:ascii="Garamond" w:hAnsi="Garamond" w:cs="Courier New"/>
              </w:rPr>
            </w:pPr>
            <w:r w:rsidRPr="006A79B9">
              <w:rPr>
                <w:rFonts w:ascii="Garamond" w:hAnsi="Garamond" w:cs="Courier New"/>
              </w:rPr>
              <w:t>Std. Err.</w:t>
            </w:r>
          </w:p>
        </w:tc>
      </w:tr>
      <w:tr w:rsidR="00872C1C" w:rsidRPr="0089347C" w14:paraId="51E53D9A" w14:textId="77777777" w:rsidTr="009E28FF">
        <w:tc>
          <w:tcPr>
            <w:tcW w:w="2790" w:type="dxa"/>
            <w:tcBorders>
              <w:top w:val="single" w:sz="4" w:space="0" w:color="auto"/>
              <w:left w:val="nil"/>
              <w:bottom w:val="nil"/>
              <w:right w:val="nil"/>
            </w:tcBorders>
            <w:hideMark/>
          </w:tcPr>
          <w:p w14:paraId="4E3A01A2" w14:textId="4B4F2E41"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-1</w:t>
            </w:r>
            <w:r>
              <w:rPr>
                <w:rFonts w:ascii="Garamond" w:hAnsi="Garamond" w:cs="Courier New"/>
              </w:rPr>
              <w:t>2</w:t>
            </w:r>
            <w:r w:rsidRPr="006A79B9">
              <w:rPr>
                <w:rFonts w:ascii="Garamond" w:hAnsi="Garamond" w:cs="Courier New"/>
              </w:rPr>
              <w:t>)</w:t>
            </w:r>
          </w:p>
        </w:tc>
        <w:tc>
          <w:tcPr>
            <w:tcW w:w="1260" w:type="dxa"/>
            <w:tcBorders>
              <w:top w:val="single" w:sz="4" w:space="0" w:color="auto"/>
              <w:left w:val="nil"/>
              <w:bottom w:val="nil"/>
              <w:right w:val="nil"/>
            </w:tcBorders>
          </w:tcPr>
          <w:p w14:paraId="225D8616" w14:textId="40A2E09C"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0.016</w:t>
            </w:r>
          </w:p>
        </w:tc>
        <w:tc>
          <w:tcPr>
            <w:tcW w:w="1080" w:type="dxa"/>
            <w:tcBorders>
              <w:top w:val="single" w:sz="4" w:space="0" w:color="auto"/>
              <w:left w:val="nil"/>
              <w:bottom w:val="nil"/>
              <w:right w:val="nil"/>
            </w:tcBorders>
          </w:tcPr>
          <w:p w14:paraId="78EDB27C" w14:textId="423FB6BA"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0.042</w:t>
            </w:r>
          </w:p>
        </w:tc>
      </w:tr>
      <w:tr w:rsidR="00872C1C" w:rsidRPr="0089347C" w14:paraId="787BE16E" w14:textId="77777777" w:rsidTr="004F3768">
        <w:tc>
          <w:tcPr>
            <w:tcW w:w="2790" w:type="dxa"/>
          </w:tcPr>
          <w:p w14:paraId="15C71760" w14:textId="105C6DF8" w:rsidR="00872C1C" w:rsidRPr="006A79B9"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-1</w:t>
            </w:r>
            <w:r>
              <w:rPr>
                <w:rFonts w:ascii="Garamond" w:hAnsi="Garamond" w:cs="Courier New"/>
              </w:rPr>
              <w:t>1</w:t>
            </w:r>
            <w:r w:rsidRPr="006A79B9">
              <w:rPr>
                <w:rFonts w:ascii="Garamond" w:hAnsi="Garamond" w:cs="Courier New"/>
              </w:rPr>
              <w:t>)</w:t>
            </w:r>
          </w:p>
        </w:tc>
        <w:tc>
          <w:tcPr>
            <w:tcW w:w="1260" w:type="dxa"/>
          </w:tcPr>
          <w:p w14:paraId="11D87639" w14:textId="438F8502"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0.053</w:t>
            </w:r>
          </w:p>
        </w:tc>
        <w:tc>
          <w:tcPr>
            <w:tcW w:w="1080" w:type="dxa"/>
          </w:tcPr>
          <w:p w14:paraId="383C32F6" w14:textId="5A7437D1"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0.043</w:t>
            </w:r>
          </w:p>
        </w:tc>
      </w:tr>
      <w:tr w:rsidR="00872C1C" w:rsidRPr="0089347C" w14:paraId="32698009" w14:textId="77777777" w:rsidTr="009E28FF">
        <w:tc>
          <w:tcPr>
            <w:tcW w:w="2790" w:type="dxa"/>
            <w:hideMark/>
          </w:tcPr>
          <w:p w14:paraId="62790ED7"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-10)</w:t>
            </w:r>
          </w:p>
        </w:tc>
        <w:tc>
          <w:tcPr>
            <w:tcW w:w="1260" w:type="dxa"/>
          </w:tcPr>
          <w:p w14:paraId="593B3C66" w14:textId="1C73DE1D"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0.091</w:t>
            </w:r>
            <w:r w:rsidRPr="00872C1C">
              <w:rPr>
                <w:rFonts w:ascii="Garamond" w:hAnsi="Garamond" w:cs="Times New Roman"/>
                <w:vertAlign w:val="superscript"/>
              </w:rPr>
              <w:t>*</w:t>
            </w:r>
          </w:p>
        </w:tc>
        <w:tc>
          <w:tcPr>
            <w:tcW w:w="1080" w:type="dxa"/>
          </w:tcPr>
          <w:p w14:paraId="5088FD47" w14:textId="66072121"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0.045</w:t>
            </w:r>
          </w:p>
        </w:tc>
      </w:tr>
      <w:tr w:rsidR="00872C1C" w:rsidRPr="0089347C" w14:paraId="4CE9791F" w14:textId="77777777" w:rsidTr="009E28FF">
        <w:tc>
          <w:tcPr>
            <w:tcW w:w="2790" w:type="dxa"/>
            <w:hideMark/>
          </w:tcPr>
          <w:p w14:paraId="14619AAF"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-9)</w:t>
            </w:r>
          </w:p>
        </w:tc>
        <w:tc>
          <w:tcPr>
            <w:tcW w:w="1260" w:type="dxa"/>
          </w:tcPr>
          <w:p w14:paraId="7F77F500" w14:textId="241CAE1E"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0.060</w:t>
            </w:r>
          </w:p>
        </w:tc>
        <w:tc>
          <w:tcPr>
            <w:tcW w:w="1080" w:type="dxa"/>
          </w:tcPr>
          <w:p w14:paraId="37FF0181" w14:textId="14592C11"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0.041</w:t>
            </w:r>
          </w:p>
        </w:tc>
      </w:tr>
      <w:tr w:rsidR="00872C1C" w:rsidRPr="0089347C" w14:paraId="26E42524" w14:textId="77777777" w:rsidTr="009E28FF">
        <w:tc>
          <w:tcPr>
            <w:tcW w:w="2790" w:type="dxa"/>
            <w:hideMark/>
          </w:tcPr>
          <w:p w14:paraId="33D86A23"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-8)</w:t>
            </w:r>
          </w:p>
        </w:tc>
        <w:tc>
          <w:tcPr>
            <w:tcW w:w="1260" w:type="dxa"/>
          </w:tcPr>
          <w:p w14:paraId="106C8C52" w14:textId="7B50757C"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0.040</w:t>
            </w:r>
          </w:p>
        </w:tc>
        <w:tc>
          <w:tcPr>
            <w:tcW w:w="1080" w:type="dxa"/>
          </w:tcPr>
          <w:p w14:paraId="2F4FE3D5" w14:textId="5985E4F0"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0.037</w:t>
            </w:r>
          </w:p>
        </w:tc>
      </w:tr>
      <w:tr w:rsidR="00872C1C" w:rsidRPr="0089347C" w14:paraId="1E60E2C5" w14:textId="77777777" w:rsidTr="009E28FF">
        <w:tc>
          <w:tcPr>
            <w:tcW w:w="2790" w:type="dxa"/>
            <w:hideMark/>
          </w:tcPr>
          <w:p w14:paraId="1971A9DA"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-7)</w:t>
            </w:r>
          </w:p>
        </w:tc>
        <w:tc>
          <w:tcPr>
            <w:tcW w:w="1260" w:type="dxa"/>
          </w:tcPr>
          <w:p w14:paraId="388DC685" w14:textId="58B805EA"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0.087</w:t>
            </w:r>
          </w:p>
        </w:tc>
        <w:tc>
          <w:tcPr>
            <w:tcW w:w="1080" w:type="dxa"/>
          </w:tcPr>
          <w:p w14:paraId="3205AA3E" w14:textId="7CA533CB"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0.052</w:t>
            </w:r>
          </w:p>
        </w:tc>
      </w:tr>
      <w:tr w:rsidR="00872C1C" w:rsidRPr="0089347C" w14:paraId="5E1769E9" w14:textId="77777777" w:rsidTr="009E28FF">
        <w:tc>
          <w:tcPr>
            <w:tcW w:w="2790" w:type="dxa"/>
            <w:hideMark/>
          </w:tcPr>
          <w:p w14:paraId="05E855AB"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-6)</w:t>
            </w:r>
          </w:p>
        </w:tc>
        <w:tc>
          <w:tcPr>
            <w:tcW w:w="1260" w:type="dxa"/>
          </w:tcPr>
          <w:p w14:paraId="3D2B3A24" w14:textId="5897F8D4"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0.153</w:t>
            </w:r>
            <w:r w:rsidRPr="00872C1C">
              <w:rPr>
                <w:rFonts w:ascii="Garamond" w:hAnsi="Garamond" w:cs="Times New Roman"/>
                <w:vertAlign w:val="superscript"/>
              </w:rPr>
              <w:t>**</w:t>
            </w:r>
          </w:p>
        </w:tc>
        <w:tc>
          <w:tcPr>
            <w:tcW w:w="1080" w:type="dxa"/>
          </w:tcPr>
          <w:p w14:paraId="3E6259AF" w14:textId="4E716356"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0.057</w:t>
            </w:r>
          </w:p>
        </w:tc>
      </w:tr>
      <w:tr w:rsidR="00872C1C" w:rsidRPr="0089347C" w14:paraId="1344069F" w14:textId="77777777" w:rsidTr="009E28FF">
        <w:tc>
          <w:tcPr>
            <w:tcW w:w="2790" w:type="dxa"/>
            <w:hideMark/>
          </w:tcPr>
          <w:p w14:paraId="4346F998"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-5)</w:t>
            </w:r>
          </w:p>
        </w:tc>
        <w:tc>
          <w:tcPr>
            <w:tcW w:w="1260" w:type="dxa"/>
          </w:tcPr>
          <w:p w14:paraId="14E20FEB" w14:textId="65E722B5"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0.180</w:t>
            </w:r>
            <w:r w:rsidRPr="00872C1C">
              <w:rPr>
                <w:rFonts w:ascii="Garamond" w:hAnsi="Garamond" w:cs="Times New Roman"/>
                <w:vertAlign w:val="superscript"/>
              </w:rPr>
              <w:t>**</w:t>
            </w:r>
          </w:p>
        </w:tc>
        <w:tc>
          <w:tcPr>
            <w:tcW w:w="1080" w:type="dxa"/>
          </w:tcPr>
          <w:p w14:paraId="3F8959BA" w14:textId="717565B3"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0.061</w:t>
            </w:r>
          </w:p>
        </w:tc>
      </w:tr>
      <w:tr w:rsidR="00872C1C" w:rsidRPr="0089347C" w14:paraId="64F8D30B" w14:textId="77777777" w:rsidTr="009E28FF">
        <w:tc>
          <w:tcPr>
            <w:tcW w:w="2790" w:type="dxa"/>
            <w:hideMark/>
          </w:tcPr>
          <w:p w14:paraId="33BEB144"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-4)</w:t>
            </w:r>
          </w:p>
        </w:tc>
        <w:tc>
          <w:tcPr>
            <w:tcW w:w="1260" w:type="dxa"/>
          </w:tcPr>
          <w:p w14:paraId="35A35DB0" w14:textId="6FDBD5BA"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0.094</w:t>
            </w:r>
            <w:r w:rsidRPr="00872C1C">
              <w:rPr>
                <w:rFonts w:ascii="Garamond" w:hAnsi="Garamond" w:cs="Times New Roman"/>
                <w:vertAlign w:val="superscript"/>
              </w:rPr>
              <w:t>*</w:t>
            </w:r>
          </w:p>
        </w:tc>
        <w:tc>
          <w:tcPr>
            <w:tcW w:w="1080" w:type="dxa"/>
          </w:tcPr>
          <w:p w14:paraId="574DF690" w14:textId="7DE759D0"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0.042</w:t>
            </w:r>
          </w:p>
        </w:tc>
      </w:tr>
      <w:tr w:rsidR="00872C1C" w:rsidRPr="0089347C" w14:paraId="4BC4117C" w14:textId="77777777" w:rsidTr="009E28FF">
        <w:tc>
          <w:tcPr>
            <w:tcW w:w="2790" w:type="dxa"/>
            <w:hideMark/>
          </w:tcPr>
          <w:p w14:paraId="38C539F1"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-3)</w:t>
            </w:r>
          </w:p>
        </w:tc>
        <w:tc>
          <w:tcPr>
            <w:tcW w:w="1260" w:type="dxa"/>
          </w:tcPr>
          <w:p w14:paraId="014CB071" w14:textId="14CABFC0"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0.109</w:t>
            </w:r>
            <w:r w:rsidRPr="00872C1C">
              <w:rPr>
                <w:rFonts w:ascii="Garamond" w:hAnsi="Garamond" w:cs="Times New Roman"/>
                <w:vertAlign w:val="superscript"/>
              </w:rPr>
              <w:t>*</w:t>
            </w:r>
          </w:p>
        </w:tc>
        <w:tc>
          <w:tcPr>
            <w:tcW w:w="1080" w:type="dxa"/>
          </w:tcPr>
          <w:p w14:paraId="76198303" w14:textId="191C77EB"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0.045</w:t>
            </w:r>
          </w:p>
        </w:tc>
      </w:tr>
      <w:tr w:rsidR="00872C1C" w:rsidRPr="0089347C" w14:paraId="4DEA35C8" w14:textId="77777777" w:rsidTr="009E28FF">
        <w:tc>
          <w:tcPr>
            <w:tcW w:w="2790" w:type="dxa"/>
            <w:hideMark/>
          </w:tcPr>
          <w:p w14:paraId="3BDFB01E"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-2)</w:t>
            </w:r>
          </w:p>
        </w:tc>
        <w:tc>
          <w:tcPr>
            <w:tcW w:w="1260" w:type="dxa"/>
          </w:tcPr>
          <w:p w14:paraId="0F744239" w14:textId="412AD7F5"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0.058</w:t>
            </w:r>
          </w:p>
        </w:tc>
        <w:tc>
          <w:tcPr>
            <w:tcW w:w="1080" w:type="dxa"/>
          </w:tcPr>
          <w:p w14:paraId="7A1D3795" w14:textId="1DFE5691"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0.030</w:t>
            </w:r>
          </w:p>
        </w:tc>
      </w:tr>
      <w:tr w:rsidR="00872C1C" w:rsidRPr="0089347C" w14:paraId="420405BF" w14:textId="77777777" w:rsidTr="009E28FF">
        <w:tc>
          <w:tcPr>
            <w:tcW w:w="2790" w:type="dxa"/>
            <w:hideMark/>
          </w:tcPr>
          <w:p w14:paraId="2D1E0DCD"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Pre-treatment (t = -1)</w:t>
            </w:r>
          </w:p>
        </w:tc>
        <w:tc>
          <w:tcPr>
            <w:tcW w:w="1260" w:type="dxa"/>
          </w:tcPr>
          <w:p w14:paraId="75044AA2" w14:textId="23AB961E"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0.000</w:t>
            </w:r>
          </w:p>
        </w:tc>
        <w:tc>
          <w:tcPr>
            <w:tcW w:w="1080" w:type="dxa"/>
          </w:tcPr>
          <w:p w14:paraId="40B02EE6" w14:textId="0E9F6B46"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w:t>
            </w:r>
          </w:p>
        </w:tc>
      </w:tr>
      <w:tr w:rsidR="00872C1C" w:rsidRPr="0089347C" w14:paraId="29E5790A" w14:textId="77777777" w:rsidTr="009E28FF">
        <w:tc>
          <w:tcPr>
            <w:tcW w:w="2790" w:type="dxa"/>
            <w:hideMark/>
          </w:tcPr>
          <w:p w14:paraId="2F5D4236"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Treatment (t = 0)</w:t>
            </w:r>
          </w:p>
        </w:tc>
        <w:tc>
          <w:tcPr>
            <w:tcW w:w="1260" w:type="dxa"/>
          </w:tcPr>
          <w:p w14:paraId="27C1D295" w14:textId="08AAB4A6"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0.018</w:t>
            </w:r>
          </w:p>
        </w:tc>
        <w:tc>
          <w:tcPr>
            <w:tcW w:w="1080" w:type="dxa"/>
          </w:tcPr>
          <w:p w14:paraId="51B8641C" w14:textId="68C5E7D8"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0.034</w:t>
            </w:r>
          </w:p>
        </w:tc>
      </w:tr>
      <w:tr w:rsidR="00872C1C" w:rsidRPr="0089347C" w14:paraId="0DF1E365" w14:textId="77777777" w:rsidTr="009E28FF">
        <w:tc>
          <w:tcPr>
            <w:tcW w:w="2790" w:type="dxa"/>
            <w:hideMark/>
          </w:tcPr>
          <w:p w14:paraId="63613991"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1)</w:t>
            </w:r>
          </w:p>
        </w:tc>
        <w:tc>
          <w:tcPr>
            <w:tcW w:w="1260" w:type="dxa"/>
          </w:tcPr>
          <w:p w14:paraId="23EA4DB6" w14:textId="17E0FD2E"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0.006</w:t>
            </w:r>
          </w:p>
        </w:tc>
        <w:tc>
          <w:tcPr>
            <w:tcW w:w="1080" w:type="dxa"/>
          </w:tcPr>
          <w:p w14:paraId="6EB41761" w14:textId="6B91FF0A"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0.075</w:t>
            </w:r>
          </w:p>
        </w:tc>
      </w:tr>
      <w:tr w:rsidR="00872C1C" w:rsidRPr="0089347C" w14:paraId="5AD9CF10" w14:textId="77777777" w:rsidTr="009E28FF">
        <w:tc>
          <w:tcPr>
            <w:tcW w:w="2790" w:type="dxa"/>
            <w:hideMark/>
          </w:tcPr>
          <w:p w14:paraId="13AD569C"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2)</w:t>
            </w:r>
          </w:p>
        </w:tc>
        <w:tc>
          <w:tcPr>
            <w:tcW w:w="1260" w:type="dxa"/>
          </w:tcPr>
          <w:p w14:paraId="7BE06BFF" w14:textId="2D5D7C05"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0.055</w:t>
            </w:r>
          </w:p>
        </w:tc>
        <w:tc>
          <w:tcPr>
            <w:tcW w:w="1080" w:type="dxa"/>
          </w:tcPr>
          <w:p w14:paraId="6B9C00DB" w14:textId="1132F6EA"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0.063</w:t>
            </w:r>
          </w:p>
        </w:tc>
      </w:tr>
      <w:tr w:rsidR="00872C1C" w:rsidRPr="0089347C" w14:paraId="6621CA8E" w14:textId="77777777" w:rsidTr="009E28FF">
        <w:tc>
          <w:tcPr>
            <w:tcW w:w="2790" w:type="dxa"/>
            <w:hideMark/>
          </w:tcPr>
          <w:p w14:paraId="70E97C3D"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3)</w:t>
            </w:r>
          </w:p>
        </w:tc>
        <w:tc>
          <w:tcPr>
            <w:tcW w:w="1260" w:type="dxa"/>
          </w:tcPr>
          <w:p w14:paraId="485031C9" w14:textId="766B8908"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0.068</w:t>
            </w:r>
          </w:p>
        </w:tc>
        <w:tc>
          <w:tcPr>
            <w:tcW w:w="1080" w:type="dxa"/>
          </w:tcPr>
          <w:p w14:paraId="4792CF26" w14:textId="3C6C69A5"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0.040</w:t>
            </w:r>
          </w:p>
        </w:tc>
      </w:tr>
      <w:tr w:rsidR="00872C1C" w:rsidRPr="0089347C" w14:paraId="529B1A13" w14:textId="77777777" w:rsidTr="009E28FF">
        <w:tc>
          <w:tcPr>
            <w:tcW w:w="2790" w:type="dxa"/>
            <w:hideMark/>
          </w:tcPr>
          <w:p w14:paraId="39649D0D"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4)</w:t>
            </w:r>
          </w:p>
        </w:tc>
        <w:tc>
          <w:tcPr>
            <w:tcW w:w="1260" w:type="dxa"/>
          </w:tcPr>
          <w:p w14:paraId="63E9D20A" w14:textId="1674E11C"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0.054</w:t>
            </w:r>
          </w:p>
        </w:tc>
        <w:tc>
          <w:tcPr>
            <w:tcW w:w="1080" w:type="dxa"/>
          </w:tcPr>
          <w:p w14:paraId="1C2BAD11" w14:textId="59D709E7"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0.032</w:t>
            </w:r>
          </w:p>
        </w:tc>
      </w:tr>
      <w:tr w:rsidR="00872C1C" w:rsidRPr="0089347C" w14:paraId="062E9C0D" w14:textId="77777777" w:rsidTr="009E28FF">
        <w:tc>
          <w:tcPr>
            <w:tcW w:w="2790" w:type="dxa"/>
            <w:hideMark/>
          </w:tcPr>
          <w:p w14:paraId="23442DE2"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5)</w:t>
            </w:r>
          </w:p>
        </w:tc>
        <w:tc>
          <w:tcPr>
            <w:tcW w:w="1260" w:type="dxa"/>
          </w:tcPr>
          <w:p w14:paraId="09A10EEC" w14:textId="1CECA38D"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0.079</w:t>
            </w:r>
          </w:p>
        </w:tc>
        <w:tc>
          <w:tcPr>
            <w:tcW w:w="1080" w:type="dxa"/>
          </w:tcPr>
          <w:p w14:paraId="02C622B8" w14:textId="08BE3977"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0.041</w:t>
            </w:r>
          </w:p>
        </w:tc>
      </w:tr>
      <w:tr w:rsidR="00872C1C" w:rsidRPr="0089347C" w14:paraId="08FD56DC" w14:textId="77777777" w:rsidTr="009E28FF">
        <w:tc>
          <w:tcPr>
            <w:tcW w:w="2790" w:type="dxa"/>
            <w:hideMark/>
          </w:tcPr>
          <w:p w14:paraId="452562D6"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6)</w:t>
            </w:r>
          </w:p>
        </w:tc>
        <w:tc>
          <w:tcPr>
            <w:tcW w:w="1260" w:type="dxa"/>
          </w:tcPr>
          <w:p w14:paraId="464D7A7B" w14:textId="02DBC5E7"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0.215</w:t>
            </w:r>
            <w:r w:rsidRPr="00872C1C">
              <w:rPr>
                <w:rFonts w:ascii="Garamond" w:hAnsi="Garamond" w:cs="Times New Roman"/>
                <w:vertAlign w:val="superscript"/>
              </w:rPr>
              <w:t>***</w:t>
            </w:r>
          </w:p>
        </w:tc>
        <w:tc>
          <w:tcPr>
            <w:tcW w:w="1080" w:type="dxa"/>
          </w:tcPr>
          <w:p w14:paraId="2560ADEE" w14:textId="5046ECCA"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0.056</w:t>
            </w:r>
          </w:p>
        </w:tc>
      </w:tr>
      <w:tr w:rsidR="00872C1C" w:rsidRPr="0089347C" w14:paraId="35D1FBB3" w14:textId="77777777" w:rsidTr="009E28FF">
        <w:tc>
          <w:tcPr>
            <w:tcW w:w="2790" w:type="dxa"/>
            <w:hideMark/>
          </w:tcPr>
          <w:p w14:paraId="79F9EFC3"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7)</w:t>
            </w:r>
          </w:p>
        </w:tc>
        <w:tc>
          <w:tcPr>
            <w:tcW w:w="1260" w:type="dxa"/>
          </w:tcPr>
          <w:p w14:paraId="047014BD" w14:textId="7A3FFAA6"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0.288</w:t>
            </w:r>
            <w:r w:rsidRPr="00872C1C">
              <w:rPr>
                <w:rFonts w:ascii="Garamond" w:hAnsi="Garamond" w:cs="Times New Roman"/>
                <w:vertAlign w:val="superscript"/>
              </w:rPr>
              <w:t>***</w:t>
            </w:r>
          </w:p>
        </w:tc>
        <w:tc>
          <w:tcPr>
            <w:tcW w:w="1080" w:type="dxa"/>
          </w:tcPr>
          <w:p w14:paraId="5AD844BD" w14:textId="59A95B57"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0.055</w:t>
            </w:r>
          </w:p>
        </w:tc>
      </w:tr>
      <w:tr w:rsidR="00872C1C" w:rsidRPr="0089347C" w14:paraId="38117A25" w14:textId="77777777" w:rsidTr="009E28FF">
        <w:tc>
          <w:tcPr>
            <w:tcW w:w="2790" w:type="dxa"/>
            <w:hideMark/>
          </w:tcPr>
          <w:p w14:paraId="53B1D13A"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8)</w:t>
            </w:r>
          </w:p>
        </w:tc>
        <w:tc>
          <w:tcPr>
            <w:tcW w:w="1260" w:type="dxa"/>
          </w:tcPr>
          <w:p w14:paraId="67B477AF" w14:textId="53BF44AE"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0.109</w:t>
            </w:r>
            <w:r w:rsidRPr="00872C1C">
              <w:rPr>
                <w:rFonts w:ascii="Garamond" w:hAnsi="Garamond" w:cs="Times New Roman"/>
                <w:vertAlign w:val="superscript"/>
              </w:rPr>
              <w:t>*</w:t>
            </w:r>
          </w:p>
        </w:tc>
        <w:tc>
          <w:tcPr>
            <w:tcW w:w="1080" w:type="dxa"/>
          </w:tcPr>
          <w:p w14:paraId="116057B5" w14:textId="2235E4DC"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0.043</w:t>
            </w:r>
          </w:p>
        </w:tc>
      </w:tr>
      <w:tr w:rsidR="00872C1C" w:rsidRPr="0089347C" w14:paraId="74AECD89" w14:textId="77777777" w:rsidTr="009E28FF">
        <w:tc>
          <w:tcPr>
            <w:tcW w:w="2790" w:type="dxa"/>
            <w:hideMark/>
          </w:tcPr>
          <w:p w14:paraId="1187AA8C"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9)</w:t>
            </w:r>
          </w:p>
        </w:tc>
        <w:tc>
          <w:tcPr>
            <w:tcW w:w="1260" w:type="dxa"/>
          </w:tcPr>
          <w:p w14:paraId="1CA66CD1" w14:textId="74F47C89"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0.121</w:t>
            </w:r>
            <w:r w:rsidRPr="00872C1C">
              <w:rPr>
                <w:rFonts w:ascii="Garamond" w:hAnsi="Garamond" w:cs="Times New Roman"/>
                <w:vertAlign w:val="superscript"/>
              </w:rPr>
              <w:t>**</w:t>
            </w:r>
          </w:p>
        </w:tc>
        <w:tc>
          <w:tcPr>
            <w:tcW w:w="1080" w:type="dxa"/>
          </w:tcPr>
          <w:p w14:paraId="37A94AFE" w14:textId="05292D2D"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0.040</w:t>
            </w:r>
          </w:p>
        </w:tc>
      </w:tr>
      <w:tr w:rsidR="00872C1C" w:rsidRPr="0089347C" w14:paraId="6D81E325" w14:textId="77777777" w:rsidTr="009E28FF">
        <w:tc>
          <w:tcPr>
            <w:tcW w:w="2790" w:type="dxa"/>
            <w:hideMark/>
          </w:tcPr>
          <w:p w14:paraId="710FE3BF"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10)</w:t>
            </w:r>
          </w:p>
        </w:tc>
        <w:tc>
          <w:tcPr>
            <w:tcW w:w="1260" w:type="dxa"/>
          </w:tcPr>
          <w:p w14:paraId="09A114A5" w14:textId="625A7BFE"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-0.002</w:t>
            </w:r>
          </w:p>
        </w:tc>
        <w:tc>
          <w:tcPr>
            <w:tcW w:w="1080" w:type="dxa"/>
          </w:tcPr>
          <w:p w14:paraId="03A1B3F8" w14:textId="5BEE828C"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0.042</w:t>
            </w:r>
          </w:p>
        </w:tc>
      </w:tr>
      <w:tr w:rsidR="00872C1C" w:rsidRPr="0089347C" w14:paraId="45ED15C6" w14:textId="77777777" w:rsidTr="009E28FF">
        <w:tc>
          <w:tcPr>
            <w:tcW w:w="2790" w:type="dxa"/>
            <w:hideMark/>
          </w:tcPr>
          <w:p w14:paraId="2AF3E92B"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11)</w:t>
            </w:r>
          </w:p>
        </w:tc>
        <w:tc>
          <w:tcPr>
            <w:tcW w:w="1260" w:type="dxa"/>
          </w:tcPr>
          <w:p w14:paraId="6A44F1A8" w14:textId="4453B297"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-0.024</w:t>
            </w:r>
          </w:p>
        </w:tc>
        <w:tc>
          <w:tcPr>
            <w:tcW w:w="1080" w:type="dxa"/>
          </w:tcPr>
          <w:p w14:paraId="71F7AE78" w14:textId="3D7B4276"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0.026</w:t>
            </w:r>
          </w:p>
        </w:tc>
      </w:tr>
      <w:tr w:rsidR="00872C1C" w:rsidRPr="0089347C" w14:paraId="39D4B672" w14:textId="77777777" w:rsidTr="009E28FF">
        <w:tc>
          <w:tcPr>
            <w:tcW w:w="2790" w:type="dxa"/>
            <w:hideMark/>
          </w:tcPr>
          <w:p w14:paraId="3369213A" w14:textId="77777777" w:rsidR="00872C1C" w:rsidRPr="0089347C" w:rsidRDefault="00872C1C" w:rsidP="00872C1C">
            <w:pPr>
              <w:spacing w:afterLines="40" w:after="96" w:line="240" w:lineRule="auto"/>
              <w:jc w:val="both"/>
              <w:rPr>
                <w:rFonts w:ascii="Garamond" w:hAnsi="Garamond" w:cs="Courier New"/>
              </w:rPr>
            </w:pPr>
            <w:r w:rsidRPr="006A79B9">
              <w:rPr>
                <w:rFonts w:ascii="Garamond" w:hAnsi="Garamond" w:cs="Courier New"/>
              </w:rPr>
              <w:t>Post-treatment (t = 12)</w:t>
            </w:r>
          </w:p>
        </w:tc>
        <w:tc>
          <w:tcPr>
            <w:tcW w:w="1260" w:type="dxa"/>
          </w:tcPr>
          <w:p w14:paraId="632C6ECE" w14:textId="59F7133C" w:rsidR="00872C1C" w:rsidRPr="00872C1C" w:rsidRDefault="00872C1C" w:rsidP="00872C1C">
            <w:pPr>
              <w:spacing w:afterLines="40" w:after="96" w:line="240" w:lineRule="auto"/>
              <w:jc w:val="both"/>
              <w:rPr>
                <w:rFonts w:ascii="Garamond" w:hAnsi="Garamond" w:cs="Courier New"/>
              </w:rPr>
            </w:pPr>
            <w:r w:rsidRPr="00872C1C">
              <w:rPr>
                <w:rFonts w:ascii="Garamond" w:hAnsi="Garamond" w:cs="Times New Roman"/>
              </w:rPr>
              <w:t>0.049</w:t>
            </w:r>
          </w:p>
        </w:tc>
        <w:tc>
          <w:tcPr>
            <w:tcW w:w="1080" w:type="dxa"/>
          </w:tcPr>
          <w:p w14:paraId="3AA3D2A4" w14:textId="7DAE90ED" w:rsidR="00872C1C" w:rsidRPr="009E28FF" w:rsidRDefault="00872C1C" w:rsidP="00872C1C">
            <w:pPr>
              <w:spacing w:afterLines="40" w:after="96" w:line="240" w:lineRule="auto"/>
              <w:jc w:val="both"/>
              <w:rPr>
                <w:rFonts w:ascii="Garamond" w:hAnsi="Garamond" w:cs="Courier New"/>
              </w:rPr>
            </w:pPr>
            <w:r w:rsidRPr="009E28FF">
              <w:rPr>
                <w:rFonts w:ascii="Garamond" w:eastAsia="Times New Roman" w:hAnsi="Garamond" w:cs="Times New Roman"/>
              </w:rPr>
              <w:t>0.036</w:t>
            </w:r>
          </w:p>
        </w:tc>
      </w:tr>
      <w:tr w:rsidR="009E28FF" w:rsidRPr="006A79B9" w14:paraId="417F2A42" w14:textId="77777777" w:rsidTr="004F3768">
        <w:tc>
          <w:tcPr>
            <w:tcW w:w="2790" w:type="dxa"/>
          </w:tcPr>
          <w:p w14:paraId="3067F73A" w14:textId="77777777" w:rsidR="009E28FF" w:rsidRPr="006A79B9" w:rsidRDefault="009E28FF" w:rsidP="009E28FF">
            <w:pPr>
              <w:spacing w:line="240" w:lineRule="auto"/>
              <w:jc w:val="both"/>
              <w:rPr>
                <w:rFonts w:ascii="Garamond" w:hAnsi="Garamond" w:cs="Courier New"/>
              </w:rPr>
            </w:pPr>
          </w:p>
        </w:tc>
        <w:tc>
          <w:tcPr>
            <w:tcW w:w="1260" w:type="dxa"/>
          </w:tcPr>
          <w:p w14:paraId="1F842E4F" w14:textId="77777777" w:rsidR="009E28FF" w:rsidRPr="006A79B9" w:rsidRDefault="009E28FF" w:rsidP="009E28FF">
            <w:pPr>
              <w:spacing w:line="240" w:lineRule="auto"/>
              <w:jc w:val="both"/>
              <w:rPr>
                <w:rFonts w:ascii="Garamond" w:hAnsi="Garamond" w:cs="Courier New"/>
              </w:rPr>
            </w:pPr>
          </w:p>
        </w:tc>
        <w:tc>
          <w:tcPr>
            <w:tcW w:w="1080" w:type="dxa"/>
          </w:tcPr>
          <w:p w14:paraId="2CF1560E" w14:textId="77777777" w:rsidR="009E28FF" w:rsidRPr="006A79B9" w:rsidRDefault="009E28FF" w:rsidP="009E28FF">
            <w:pPr>
              <w:spacing w:line="240" w:lineRule="auto"/>
              <w:jc w:val="both"/>
              <w:rPr>
                <w:rFonts w:ascii="Garamond" w:hAnsi="Garamond" w:cs="Courier New"/>
              </w:rPr>
            </w:pPr>
          </w:p>
        </w:tc>
      </w:tr>
      <w:tr w:rsidR="009E28FF" w:rsidRPr="0089347C" w14:paraId="440FBB6C" w14:textId="77777777" w:rsidTr="004F3768">
        <w:tc>
          <w:tcPr>
            <w:tcW w:w="2790" w:type="dxa"/>
            <w:tcBorders>
              <w:top w:val="nil"/>
              <w:left w:val="nil"/>
              <w:bottom w:val="single" w:sz="4" w:space="0" w:color="auto"/>
              <w:right w:val="nil"/>
            </w:tcBorders>
            <w:hideMark/>
          </w:tcPr>
          <w:p w14:paraId="4684F148" w14:textId="77777777" w:rsidR="009E28FF" w:rsidRPr="0089347C" w:rsidRDefault="009E28FF" w:rsidP="009E28FF">
            <w:pPr>
              <w:spacing w:line="240" w:lineRule="auto"/>
              <w:jc w:val="both"/>
              <w:rPr>
                <w:rFonts w:ascii="Garamond" w:hAnsi="Garamond" w:cs="Courier New"/>
              </w:rPr>
            </w:pPr>
            <w:r w:rsidRPr="0089347C">
              <w:rPr>
                <w:rFonts w:ascii="Garamond" w:hAnsi="Garamond" w:cs="Courier New"/>
              </w:rPr>
              <w:t>Constant</w:t>
            </w:r>
          </w:p>
        </w:tc>
        <w:tc>
          <w:tcPr>
            <w:tcW w:w="1260" w:type="dxa"/>
            <w:tcBorders>
              <w:top w:val="nil"/>
              <w:left w:val="nil"/>
              <w:bottom w:val="single" w:sz="4" w:space="0" w:color="auto"/>
              <w:right w:val="nil"/>
            </w:tcBorders>
            <w:hideMark/>
          </w:tcPr>
          <w:p w14:paraId="75291FAF" w14:textId="76A9D077" w:rsidR="009E28FF" w:rsidRPr="0089347C" w:rsidRDefault="009E28FF" w:rsidP="009E28FF">
            <w:pPr>
              <w:spacing w:line="240" w:lineRule="auto"/>
              <w:jc w:val="both"/>
              <w:rPr>
                <w:rFonts w:ascii="Garamond" w:hAnsi="Garamond" w:cs="Courier New"/>
              </w:rPr>
            </w:pPr>
            <w:r w:rsidRPr="0089347C">
              <w:rPr>
                <w:rFonts w:ascii="Garamond" w:hAnsi="Garamond" w:cs="Courier New"/>
              </w:rPr>
              <w:t>10.3</w:t>
            </w:r>
            <w:r w:rsidR="00872C1C">
              <w:rPr>
                <w:rFonts w:ascii="Garamond" w:hAnsi="Garamond" w:cs="Courier New"/>
              </w:rPr>
              <w:t>03</w:t>
            </w:r>
            <w:r w:rsidRPr="0089347C">
              <w:rPr>
                <w:rFonts w:ascii="Garamond" w:hAnsi="Garamond" w:cs="Courier New"/>
                <w:vertAlign w:val="superscript"/>
              </w:rPr>
              <w:t>***</w:t>
            </w:r>
          </w:p>
        </w:tc>
        <w:tc>
          <w:tcPr>
            <w:tcW w:w="1080" w:type="dxa"/>
            <w:tcBorders>
              <w:top w:val="nil"/>
              <w:left w:val="nil"/>
              <w:bottom w:val="single" w:sz="4" w:space="0" w:color="auto"/>
              <w:right w:val="nil"/>
            </w:tcBorders>
            <w:hideMark/>
          </w:tcPr>
          <w:p w14:paraId="45B1762F" w14:textId="6BAF661B" w:rsidR="009E28FF" w:rsidRPr="0089347C" w:rsidRDefault="009E28FF" w:rsidP="009E28FF">
            <w:pPr>
              <w:spacing w:line="240" w:lineRule="auto"/>
              <w:jc w:val="both"/>
              <w:rPr>
                <w:rFonts w:ascii="Garamond" w:hAnsi="Garamond" w:cs="Courier New"/>
              </w:rPr>
            </w:pPr>
            <w:r w:rsidRPr="0089347C">
              <w:rPr>
                <w:rFonts w:ascii="Garamond" w:hAnsi="Garamond" w:cs="Courier New"/>
              </w:rPr>
              <w:t>0.01</w:t>
            </w:r>
            <w:r w:rsidR="00872C1C">
              <w:rPr>
                <w:rFonts w:ascii="Garamond" w:hAnsi="Garamond" w:cs="Courier New"/>
              </w:rPr>
              <w:t>8</w:t>
            </w:r>
          </w:p>
        </w:tc>
      </w:tr>
      <w:tr w:rsidR="009E28FF" w:rsidRPr="0089347C" w14:paraId="473221A7" w14:textId="77777777" w:rsidTr="004F3768">
        <w:tc>
          <w:tcPr>
            <w:tcW w:w="2790" w:type="dxa"/>
            <w:tcBorders>
              <w:top w:val="nil"/>
              <w:left w:val="nil"/>
              <w:bottom w:val="single" w:sz="4" w:space="0" w:color="auto"/>
              <w:right w:val="nil"/>
            </w:tcBorders>
            <w:hideMark/>
          </w:tcPr>
          <w:p w14:paraId="2A95E99D" w14:textId="77777777" w:rsidR="009E28FF" w:rsidRPr="006A79B9" w:rsidRDefault="009E28FF" w:rsidP="009E28FF">
            <w:pPr>
              <w:spacing w:line="240" w:lineRule="auto"/>
              <w:jc w:val="both"/>
              <w:rPr>
                <w:rFonts w:ascii="Garamond" w:hAnsi="Garamond" w:cs="Courier New"/>
              </w:rPr>
            </w:pPr>
            <w:r w:rsidRPr="0089347C">
              <w:rPr>
                <w:rFonts w:ascii="Garamond" w:hAnsi="Garamond" w:cs="Courier New"/>
              </w:rPr>
              <w:t>Observations</w:t>
            </w:r>
          </w:p>
          <w:p w14:paraId="542FFB88" w14:textId="77777777" w:rsidR="009E28FF" w:rsidRPr="0089347C" w:rsidRDefault="009E28FF" w:rsidP="009E28FF">
            <w:pPr>
              <w:spacing w:line="240" w:lineRule="auto"/>
              <w:jc w:val="both"/>
              <w:rPr>
                <w:rFonts w:ascii="Garamond" w:hAnsi="Garamond" w:cs="Courier New"/>
              </w:rPr>
            </w:pPr>
            <w:r w:rsidRPr="006A79B9">
              <w:rPr>
                <w:rFonts w:ascii="Garamond" w:hAnsi="Garamond" w:cs="Courier New"/>
              </w:rPr>
              <w:t>Clusters</w:t>
            </w:r>
          </w:p>
        </w:tc>
        <w:tc>
          <w:tcPr>
            <w:tcW w:w="1260" w:type="dxa"/>
            <w:tcBorders>
              <w:top w:val="nil"/>
              <w:left w:val="nil"/>
              <w:bottom w:val="single" w:sz="4" w:space="0" w:color="auto"/>
              <w:right w:val="nil"/>
            </w:tcBorders>
            <w:hideMark/>
          </w:tcPr>
          <w:p w14:paraId="4FD185E5" w14:textId="11D4A046" w:rsidR="009E28FF" w:rsidRPr="006A79B9" w:rsidRDefault="009E28FF" w:rsidP="009E28FF">
            <w:pPr>
              <w:spacing w:line="240" w:lineRule="auto"/>
              <w:jc w:val="both"/>
              <w:rPr>
                <w:rFonts w:ascii="Garamond" w:hAnsi="Garamond" w:cs="Courier New"/>
              </w:rPr>
            </w:pPr>
            <w:r w:rsidRPr="0089347C">
              <w:rPr>
                <w:rFonts w:ascii="Garamond" w:hAnsi="Garamond" w:cs="Courier New"/>
              </w:rPr>
              <w:t>11</w:t>
            </w:r>
            <w:r>
              <w:rPr>
                <w:rFonts w:ascii="Garamond" w:hAnsi="Garamond" w:cs="Courier New"/>
              </w:rPr>
              <w:t>50</w:t>
            </w:r>
          </w:p>
          <w:p w14:paraId="340A74D7" w14:textId="77777777" w:rsidR="009E28FF" w:rsidRPr="0089347C" w:rsidRDefault="009E28FF" w:rsidP="009E28FF">
            <w:pPr>
              <w:spacing w:line="240" w:lineRule="auto"/>
              <w:jc w:val="both"/>
              <w:rPr>
                <w:rFonts w:ascii="Garamond" w:hAnsi="Garamond" w:cs="Courier New"/>
              </w:rPr>
            </w:pPr>
            <w:r w:rsidRPr="006A79B9">
              <w:rPr>
                <w:rFonts w:ascii="Garamond" w:hAnsi="Garamond" w:cs="Courier New"/>
              </w:rPr>
              <w:t>46</w:t>
            </w:r>
          </w:p>
        </w:tc>
        <w:tc>
          <w:tcPr>
            <w:tcW w:w="1080" w:type="dxa"/>
            <w:tcBorders>
              <w:top w:val="nil"/>
              <w:left w:val="nil"/>
              <w:bottom w:val="single" w:sz="4" w:space="0" w:color="auto"/>
              <w:right w:val="nil"/>
            </w:tcBorders>
          </w:tcPr>
          <w:p w14:paraId="10311CFF" w14:textId="77777777" w:rsidR="009E28FF" w:rsidRPr="0089347C" w:rsidRDefault="009E28FF" w:rsidP="009E28FF">
            <w:pPr>
              <w:spacing w:line="240" w:lineRule="auto"/>
              <w:jc w:val="both"/>
              <w:rPr>
                <w:rFonts w:ascii="Garamond" w:hAnsi="Garamond" w:cs="Courier New"/>
              </w:rPr>
            </w:pPr>
          </w:p>
        </w:tc>
      </w:tr>
    </w:tbl>
    <w:p w14:paraId="4AC61DB6" w14:textId="77777777" w:rsidR="00126168" w:rsidRPr="006A79B9" w:rsidRDefault="00126168" w:rsidP="00126168">
      <w:pPr>
        <w:spacing w:line="240" w:lineRule="auto"/>
        <w:jc w:val="both"/>
        <w:rPr>
          <w:rFonts w:ascii="Garamond" w:hAnsi="Garamond" w:cs="Courier New"/>
        </w:rPr>
      </w:pPr>
      <w:r w:rsidRPr="006A79B9">
        <w:rPr>
          <w:rFonts w:ascii="Garamond" w:hAnsi="Garamond" w:cstheme="minorHAnsi"/>
        </w:rPr>
        <w:t xml:space="preserve">Notes: </w:t>
      </w:r>
      <w:r w:rsidRPr="006A79B9">
        <w:rPr>
          <w:rFonts w:ascii="Garamond" w:hAnsi="Garamond" w:cs="Courier New"/>
        </w:rPr>
        <w:t xml:space="preserve">Poisson Pseudo-Maximum Likelihood model. </w:t>
      </w:r>
    </w:p>
    <w:p w14:paraId="5284C5D9" w14:textId="77777777" w:rsidR="0066488C" w:rsidRDefault="00126168" w:rsidP="0066488C">
      <w:pPr>
        <w:spacing w:line="240" w:lineRule="auto"/>
        <w:jc w:val="both"/>
        <w:rPr>
          <w:rFonts w:ascii="Garamond" w:hAnsi="Garamond" w:cstheme="minorHAnsi"/>
        </w:rPr>
      </w:pPr>
      <w:r w:rsidRPr="006A79B9">
        <w:rPr>
          <w:rFonts w:ascii="Garamond" w:hAnsi="Garamond" w:cs="Courier New"/>
        </w:rPr>
        <w:t>S</w:t>
      </w:r>
      <w:r w:rsidRPr="006A79B9">
        <w:rPr>
          <w:rFonts w:ascii="Garamond" w:hAnsi="Garamond" w:cstheme="minorHAnsi"/>
        </w:rPr>
        <w:t xml:space="preserve">tandard errors clustered by state. </w:t>
      </w:r>
      <w:r w:rsidR="0066488C">
        <w:rPr>
          <w:rFonts w:ascii="Garamond" w:hAnsi="Garamond" w:cstheme="minorHAnsi"/>
        </w:rPr>
        <w:t>Estimates are</w:t>
      </w:r>
    </w:p>
    <w:p w14:paraId="2D6E9973" w14:textId="576B7A35" w:rsidR="00126168" w:rsidRPr="006A79B9" w:rsidRDefault="0066488C" w:rsidP="0066488C">
      <w:pPr>
        <w:spacing w:line="240" w:lineRule="auto"/>
        <w:jc w:val="both"/>
        <w:rPr>
          <w:rFonts w:ascii="Garamond" w:hAnsi="Garamond" w:cstheme="minorHAnsi"/>
        </w:rPr>
      </w:pPr>
      <w:r>
        <w:rPr>
          <w:rFonts w:ascii="Garamond" w:hAnsi="Garamond" w:cstheme="minorHAnsi"/>
        </w:rPr>
        <w:t xml:space="preserve">displayed visually in Figure </w:t>
      </w:r>
      <w:r w:rsidR="00A52486">
        <w:rPr>
          <w:rFonts w:ascii="Garamond" w:hAnsi="Garamond" w:cstheme="minorHAnsi"/>
        </w:rPr>
        <w:t>5</w:t>
      </w:r>
      <w:r>
        <w:rPr>
          <w:rFonts w:ascii="Garamond" w:hAnsi="Garamond" w:cstheme="minorHAnsi"/>
        </w:rPr>
        <w:t>.</w:t>
      </w:r>
    </w:p>
    <w:p w14:paraId="4CE484F3" w14:textId="2515539B" w:rsidR="00BD7F3C" w:rsidRDefault="00126168" w:rsidP="009E28FF">
      <w:pPr>
        <w:spacing w:line="240" w:lineRule="auto"/>
        <w:jc w:val="both"/>
        <w:rPr>
          <w:rFonts w:ascii="Garamond" w:hAnsi="Garamond" w:cstheme="minorHAnsi"/>
        </w:rPr>
      </w:pP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0.05, </w:t>
      </w: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0.01, </w:t>
      </w:r>
      <w:r w:rsidRPr="006A79B9">
        <w:rPr>
          <w:rFonts w:ascii="Garamond" w:hAnsi="Garamond" w:cstheme="minorHAnsi"/>
          <w:vertAlign w:val="superscript"/>
        </w:rPr>
        <w:t>***</w:t>
      </w:r>
      <w:r w:rsidRPr="006A79B9">
        <w:rPr>
          <w:rFonts w:ascii="Garamond" w:hAnsi="Garamond" w:cstheme="minorHAnsi"/>
        </w:rPr>
        <w:t xml:space="preserve"> </w:t>
      </w:r>
      <w:r w:rsidRPr="006A79B9">
        <w:rPr>
          <w:rFonts w:ascii="Garamond" w:hAnsi="Garamond" w:cstheme="minorHAnsi"/>
          <w:i/>
          <w:iCs/>
        </w:rPr>
        <w:t>p</w:t>
      </w:r>
      <w:r w:rsidRPr="006A79B9">
        <w:rPr>
          <w:rFonts w:ascii="Garamond" w:hAnsi="Garamond" w:cstheme="minorHAnsi"/>
        </w:rPr>
        <w:t xml:space="preserve"> &lt; 0.001</w:t>
      </w:r>
    </w:p>
    <w:p w14:paraId="291E8015" w14:textId="77777777" w:rsidR="00BC4CB4" w:rsidRDefault="00BC4CB4" w:rsidP="009E28FF">
      <w:pPr>
        <w:spacing w:line="240" w:lineRule="auto"/>
        <w:jc w:val="both"/>
        <w:rPr>
          <w:rFonts w:ascii="Garamond" w:hAnsi="Garamond" w:cstheme="minorHAnsi"/>
        </w:rPr>
      </w:pPr>
    </w:p>
    <w:p w14:paraId="724EF44B" w14:textId="45469E6A" w:rsidR="00BC4CB4" w:rsidRDefault="00BC4CB4">
      <w:pPr>
        <w:spacing w:after="160" w:line="278" w:lineRule="auto"/>
        <w:rPr>
          <w:rFonts w:ascii="Garamond" w:hAnsi="Garamond" w:cstheme="minorHAnsi"/>
        </w:rPr>
      </w:pPr>
    </w:p>
    <w:sectPr w:rsidR="00BC4CB4" w:rsidSect="001B7355">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21111" w14:textId="77777777" w:rsidR="00244AD3" w:rsidRDefault="00244AD3" w:rsidP="0057567E">
      <w:pPr>
        <w:spacing w:line="240" w:lineRule="auto"/>
      </w:pPr>
      <w:r>
        <w:separator/>
      </w:r>
    </w:p>
  </w:endnote>
  <w:endnote w:type="continuationSeparator" w:id="0">
    <w:p w14:paraId="48199A33" w14:textId="77777777" w:rsidR="00244AD3" w:rsidRDefault="00244AD3" w:rsidP="00575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5593519"/>
      <w:docPartObj>
        <w:docPartGallery w:val="Page Numbers (Bottom of Page)"/>
        <w:docPartUnique/>
      </w:docPartObj>
    </w:sdtPr>
    <w:sdtEndPr>
      <w:rPr>
        <w:rFonts w:ascii="Garamond" w:hAnsi="Garamond"/>
        <w:noProof/>
        <w:sz w:val="22"/>
        <w:szCs w:val="22"/>
      </w:rPr>
    </w:sdtEndPr>
    <w:sdtContent>
      <w:p w14:paraId="7BFE926C" w14:textId="7D772634" w:rsidR="0057567E" w:rsidRPr="00341F37" w:rsidRDefault="0057567E">
        <w:pPr>
          <w:pStyle w:val="Footer"/>
          <w:jc w:val="center"/>
          <w:rPr>
            <w:rFonts w:ascii="Garamond" w:hAnsi="Garamond"/>
            <w:sz w:val="22"/>
            <w:szCs w:val="22"/>
          </w:rPr>
        </w:pPr>
        <w:r w:rsidRPr="00341F37">
          <w:rPr>
            <w:rFonts w:ascii="Garamond" w:hAnsi="Garamond"/>
            <w:sz w:val="22"/>
            <w:szCs w:val="22"/>
          </w:rPr>
          <w:fldChar w:fldCharType="begin"/>
        </w:r>
        <w:r w:rsidRPr="00341F37">
          <w:rPr>
            <w:rFonts w:ascii="Garamond" w:hAnsi="Garamond"/>
            <w:sz w:val="22"/>
            <w:szCs w:val="22"/>
          </w:rPr>
          <w:instrText xml:space="preserve"> PAGE   \* MERGEFORMAT </w:instrText>
        </w:r>
        <w:r w:rsidRPr="00341F37">
          <w:rPr>
            <w:rFonts w:ascii="Garamond" w:hAnsi="Garamond"/>
            <w:sz w:val="22"/>
            <w:szCs w:val="22"/>
          </w:rPr>
          <w:fldChar w:fldCharType="separate"/>
        </w:r>
        <w:r w:rsidRPr="00341F37">
          <w:rPr>
            <w:rFonts w:ascii="Garamond" w:hAnsi="Garamond"/>
            <w:noProof/>
            <w:sz w:val="22"/>
            <w:szCs w:val="22"/>
          </w:rPr>
          <w:t>2</w:t>
        </w:r>
        <w:r w:rsidRPr="00341F37">
          <w:rPr>
            <w:rFonts w:ascii="Garamond" w:hAnsi="Garamond"/>
            <w:noProof/>
            <w:sz w:val="22"/>
            <w:szCs w:val="22"/>
          </w:rPr>
          <w:fldChar w:fldCharType="end"/>
        </w:r>
      </w:p>
    </w:sdtContent>
  </w:sdt>
  <w:p w14:paraId="704445DF" w14:textId="77777777" w:rsidR="0057567E" w:rsidRDefault="0057567E">
    <w:pPr>
      <w:pStyle w:val="Footer"/>
    </w:pPr>
  </w:p>
  <w:p w14:paraId="063979F8" w14:textId="77777777" w:rsidR="00467793" w:rsidRDefault="004677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757AA" w14:textId="77777777" w:rsidR="00244AD3" w:rsidRDefault="00244AD3" w:rsidP="0057567E">
      <w:pPr>
        <w:spacing w:line="240" w:lineRule="auto"/>
      </w:pPr>
      <w:r>
        <w:separator/>
      </w:r>
    </w:p>
  </w:footnote>
  <w:footnote w:type="continuationSeparator" w:id="0">
    <w:p w14:paraId="56A28831" w14:textId="77777777" w:rsidR="00244AD3" w:rsidRDefault="00244AD3" w:rsidP="0057567E">
      <w:pPr>
        <w:spacing w:line="240" w:lineRule="auto"/>
      </w:pPr>
      <w:r>
        <w:continuationSeparator/>
      </w:r>
    </w:p>
  </w:footnote>
  <w:footnote w:id="1">
    <w:p w14:paraId="38EEAB37" w14:textId="08C391E0" w:rsidR="0057567E" w:rsidRPr="006772CB" w:rsidRDefault="0057567E" w:rsidP="0057567E">
      <w:pPr>
        <w:pStyle w:val="FootnoteText"/>
        <w:rPr>
          <w:rFonts w:ascii="Garamond" w:hAnsi="Garamond"/>
        </w:rPr>
      </w:pPr>
      <w:r w:rsidRPr="00D950CE">
        <w:rPr>
          <w:rStyle w:val="FootnoteReference"/>
          <w:rFonts w:ascii="Garamond" w:hAnsi="Garamond"/>
        </w:rPr>
        <w:footnoteRef/>
      </w:r>
      <w:r w:rsidRPr="00D950CE">
        <w:rPr>
          <w:rFonts w:ascii="Garamond" w:hAnsi="Garamond"/>
        </w:rPr>
        <w:t xml:space="preserve"> Maine passed a universal background check law on April 26, </w:t>
      </w:r>
      <w:r w:rsidR="008520B4" w:rsidRPr="00D950CE">
        <w:rPr>
          <w:rFonts w:ascii="Garamond" w:hAnsi="Garamond"/>
        </w:rPr>
        <w:t>2024;</w:t>
      </w:r>
      <w:r w:rsidRPr="00D950CE">
        <w:rPr>
          <w:rFonts w:ascii="Garamond" w:hAnsi="Garamond"/>
        </w:rPr>
        <w:t xml:space="preserve"> however</w:t>
      </w:r>
      <w:r w:rsidR="003279B8">
        <w:rPr>
          <w:rFonts w:ascii="Garamond" w:hAnsi="Garamond"/>
        </w:rPr>
        <w:t>,</w:t>
      </w:r>
      <w:r w:rsidRPr="00D950CE">
        <w:rPr>
          <w:rFonts w:ascii="Garamond" w:hAnsi="Garamond"/>
        </w:rPr>
        <w:t xml:space="preserve"> it did not take effect until after the loophole rule change t</w:t>
      </w:r>
      <w:r>
        <w:rPr>
          <w:rFonts w:ascii="Garamond" w:hAnsi="Garamond"/>
        </w:rPr>
        <w:t>ook</w:t>
      </w:r>
      <w:r w:rsidRPr="00D950CE">
        <w:rPr>
          <w:rFonts w:ascii="Garamond" w:hAnsi="Garamond"/>
        </w:rPr>
        <w:t xml:space="preserve"> effect on May 20, 2024. </w:t>
      </w:r>
    </w:p>
  </w:footnote>
  <w:footnote w:id="2">
    <w:p w14:paraId="7BCBB16C" w14:textId="64398A69" w:rsidR="003918EA" w:rsidRPr="003918EA" w:rsidRDefault="003918EA" w:rsidP="009023A6">
      <w:pPr>
        <w:pStyle w:val="FootnoteText"/>
        <w:rPr>
          <w:rFonts w:ascii="Garamond" w:hAnsi="Garamond"/>
        </w:rPr>
      </w:pPr>
      <w:r w:rsidRPr="003918EA">
        <w:rPr>
          <w:rStyle w:val="FootnoteReference"/>
          <w:rFonts w:ascii="Garamond" w:hAnsi="Garamond"/>
        </w:rPr>
        <w:footnoteRef/>
      </w:r>
      <w:r w:rsidRPr="003918EA">
        <w:rPr>
          <w:rFonts w:ascii="Garamond" w:hAnsi="Garamond"/>
        </w:rPr>
        <w:t xml:space="preserve"> </w:t>
      </w:r>
      <w:r>
        <w:rPr>
          <w:rFonts w:ascii="Garamond" w:hAnsi="Garamond"/>
        </w:rPr>
        <w:t xml:space="preserve">Whereas </w:t>
      </w:r>
      <w:r w:rsidR="000802A1">
        <w:rPr>
          <w:rFonts w:ascii="Garamond" w:hAnsi="Garamond"/>
        </w:rPr>
        <w:t xml:space="preserve">the final rule was signed by the Attorney General on April 10, 2024, and effective May 20, 2024, the </w:t>
      </w:r>
      <w:r w:rsidR="0062371C">
        <w:rPr>
          <w:rFonts w:ascii="Garamond" w:hAnsi="Garamond"/>
        </w:rPr>
        <w:t xml:space="preserve">redefinition of the key </w:t>
      </w:r>
      <w:r w:rsidR="00BC52CC">
        <w:rPr>
          <w:rFonts w:ascii="Garamond" w:hAnsi="Garamond"/>
        </w:rPr>
        <w:t>criteria</w:t>
      </w:r>
      <w:r w:rsidR="0062371C">
        <w:rPr>
          <w:rFonts w:ascii="Garamond" w:hAnsi="Garamond"/>
        </w:rPr>
        <w:t xml:space="preserve">, “engaged in the business” of dealing firearms, was initially addressed in the Bipartisan Safer Communities Act, passed </w:t>
      </w:r>
      <w:r w:rsidR="00BC52CC">
        <w:rPr>
          <w:rFonts w:ascii="Garamond" w:hAnsi="Garamond"/>
        </w:rPr>
        <w:t xml:space="preserve">by the U.S. Congress and signed by President Biden </w:t>
      </w:r>
      <w:r w:rsidR="0062371C">
        <w:rPr>
          <w:rFonts w:ascii="Garamond" w:hAnsi="Garamond"/>
        </w:rPr>
        <w:t xml:space="preserve">on June 25, 2022. To implement the Act, the Department of Justice (DOJ) then initiated </w:t>
      </w:r>
      <w:r w:rsidR="00BC52CC">
        <w:rPr>
          <w:rFonts w:ascii="Garamond" w:hAnsi="Garamond"/>
        </w:rPr>
        <w:t>a</w:t>
      </w:r>
      <w:r w:rsidR="0062371C">
        <w:rPr>
          <w:rFonts w:ascii="Garamond" w:hAnsi="Garamond"/>
        </w:rPr>
        <w:t xml:space="preserve"> process to amend the associated regulation. DOJ proceeded by first announcing the proposed regulatory change on August 31, 2023, followed by an open public comment period until December 31, 2023.</w:t>
      </w:r>
    </w:p>
  </w:footnote>
  <w:footnote w:id="3">
    <w:p w14:paraId="08AF149F" w14:textId="4063FD5D" w:rsidR="006E4C70" w:rsidRPr="009023A6" w:rsidRDefault="006E4C70" w:rsidP="006E4C70">
      <w:pPr>
        <w:pStyle w:val="FootnoteText"/>
        <w:rPr>
          <w:rFonts w:ascii="Garamond" w:hAnsi="Garamond"/>
        </w:rPr>
      </w:pPr>
      <w:r w:rsidRPr="009023A6">
        <w:rPr>
          <w:rStyle w:val="FootnoteReference"/>
          <w:rFonts w:ascii="Garamond" w:hAnsi="Garamond"/>
        </w:rPr>
        <w:footnoteRef/>
      </w:r>
      <w:r w:rsidRPr="009023A6">
        <w:rPr>
          <w:rFonts w:ascii="Garamond" w:hAnsi="Garamond"/>
        </w:rPr>
        <w:t xml:space="preserve"> Beyond the four states, plaintiffs in the suit also receiving injunctive relief include Jeffrey W. Tormey, Gun Owners of America, Inc., Gun Owners Foundation, Tennessee Firearms Association, and Virginia Defense League.</w:t>
      </w:r>
    </w:p>
  </w:footnote>
  <w:footnote w:id="4">
    <w:p w14:paraId="4108D944" w14:textId="56D3C4A0" w:rsidR="009F627D" w:rsidRPr="00A47820" w:rsidRDefault="009F627D" w:rsidP="009F627D">
      <w:pPr>
        <w:pStyle w:val="FootnoteText"/>
        <w:rPr>
          <w:rFonts w:ascii="Garamond" w:hAnsi="Garamond"/>
          <w:sz w:val="22"/>
          <w:szCs w:val="22"/>
        </w:rPr>
      </w:pPr>
      <w:r w:rsidRPr="00A47820">
        <w:rPr>
          <w:rStyle w:val="FootnoteReference"/>
          <w:rFonts w:ascii="Garamond" w:hAnsi="Garamond"/>
          <w:sz w:val="22"/>
          <w:szCs w:val="22"/>
        </w:rPr>
        <w:footnoteRef/>
      </w:r>
      <w:r w:rsidRPr="00A47820">
        <w:rPr>
          <w:rFonts w:ascii="Garamond" w:hAnsi="Garamond"/>
          <w:sz w:val="22"/>
          <w:szCs w:val="22"/>
        </w:rPr>
        <w:t xml:space="preserve"> FFLs are required to conduct background checks prior to transferring a firearm, unless the purchaser presents to the FFL in certain states a permit to possess a firearm (i.e., a permit is used in lieu of the background check). </w:t>
      </w:r>
      <w:r w:rsidR="00086E01">
        <w:rPr>
          <w:rFonts w:ascii="Garamond" w:hAnsi="Garamond"/>
          <w:sz w:val="22"/>
          <w:szCs w:val="22"/>
        </w:rPr>
        <w:t xml:space="preserve">See the following for </w:t>
      </w:r>
      <w:r w:rsidRPr="00A47820">
        <w:rPr>
          <w:rFonts w:ascii="Garamond" w:hAnsi="Garamond"/>
          <w:sz w:val="22"/>
          <w:szCs w:val="22"/>
        </w:rPr>
        <w:t xml:space="preserve">a list of state permits </w:t>
      </w:r>
      <w:r w:rsidR="00086E01">
        <w:rPr>
          <w:rFonts w:ascii="Garamond" w:hAnsi="Garamond"/>
          <w:sz w:val="22"/>
          <w:szCs w:val="22"/>
        </w:rPr>
        <w:t xml:space="preserve">that </w:t>
      </w:r>
      <w:r w:rsidRPr="00A47820">
        <w:rPr>
          <w:rFonts w:ascii="Garamond" w:hAnsi="Garamond"/>
          <w:sz w:val="22"/>
          <w:szCs w:val="22"/>
        </w:rPr>
        <w:t>qualify as exception</w:t>
      </w:r>
      <w:r w:rsidR="00086E01">
        <w:rPr>
          <w:rFonts w:ascii="Garamond" w:hAnsi="Garamond"/>
          <w:sz w:val="22"/>
          <w:szCs w:val="22"/>
        </w:rPr>
        <w:t>s</w:t>
      </w:r>
      <w:r w:rsidRPr="00A47820">
        <w:rPr>
          <w:rFonts w:ascii="Garamond" w:hAnsi="Garamond"/>
          <w:sz w:val="22"/>
          <w:szCs w:val="22"/>
        </w:rPr>
        <w:t xml:space="preserve"> to a background check: https://www.atf.gov/rules-and-regulations/laws-alcohol-tobacco-firearms-and-explosives/gun-control-act/brady-law/brady-permit-chart</w:t>
      </w:r>
    </w:p>
  </w:footnote>
  <w:footnote w:id="5">
    <w:p w14:paraId="4F8582D0" w14:textId="07E5D2DB" w:rsidR="00A47820" w:rsidRDefault="00A47820">
      <w:pPr>
        <w:pStyle w:val="FootnoteText"/>
      </w:pPr>
      <w:r>
        <w:rPr>
          <w:rStyle w:val="FootnoteReference"/>
        </w:rPr>
        <w:footnoteRef/>
      </w:r>
      <w:r>
        <w:t xml:space="preserve"> </w:t>
      </w:r>
      <w:r>
        <w:rPr>
          <w:rFonts w:ascii="Garamond" w:hAnsi="Garamond"/>
          <w:sz w:val="23"/>
          <w:szCs w:val="23"/>
        </w:rPr>
        <w:t xml:space="preserve">See: </w:t>
      </w:r>
      <w:r w:rsidRPr="00ED7AA8">
        <w:rPr>
          <w:rFonts w:ascii="Garamond" w:hAnsi="Garamond"/>
          <w:sz w:val="23"/>
          <w:szCs w:val="23"/>
        </w:rPr>
        <w:t>https://www.atf.gov/firearms/apply-license</w:t>
      </w:r>
    </w:p>
  </w:footnote>
  <w:footnote w:id="6">
    <w:p w14:paraId="09277DBA" w14:textId="45E4E658" w:rsidR="002A484A" w:rsidRPr="00C126FE" w:rsidRDefault="002A484A" w:rsidP="00C126FE">
      <w:pPr>
        <w:spacing w:line="240" w:lineRule="auto"/>
        <w:jc w:val="both"/>
        <w:rPr>
          <w:rFonts w:ascii="Garamond" w:hAnsi="Garamond"/>
          <w:sz w:val="22"/>
          <w:szCs w:val="22"/>
        </w:rPr>
      </w:pPr>
      <w:r w:rsidRPr="00C126FE">
        <w:rPr>
          <w:rStyle w:val="FootnoteReference"/>
          <w:rFonts w:ascii="Garamond" w:hAnsi="Garamond"/>
          <w:sz w:val="22"/>
          <w:szCs w:val="22"/>
        </w:rPr>
        <w:footnoteRef/>
      </w:r>
      <w:r w:rsidRPr="00C126FE">
        <w:rPr>
          <w:rFonts w:ascii="Garamond" w:hAnsi="Garamond"/>
          <w:sz w:val="22"/>
          <w:szCs w:val="22"/>
        </w:rPr>
        <w:t xml:space="preserve"> </w:t>
      </w:r>
      <w:r w:rsidR="00321935">
        <w:rPr>
          <w:rFonts w:ascii="Garamond" w:hAnsi="Garamond"/>
          <w:sz w:val="22"/>
          <w:szCs w:val="22"/>
        </w:rPr>
        <w:t>Upo</w:t>
      </w:r>
      <w:r w:rsidRPr="00C126FE">
        <w:rPr>
          <w:rFonts w:ascii="Garamond" w:hAnsi="Garamond"/>
          <w:sz w:val="22"/>
          <w:szCs w:val="22"/>
        </w:rPr>
        <w:t xml:space="preserve">n publication, data, computer code, and detailed metadata will be made freely and publicly available on Harvard Dataverse. The </w:t>
      </w:r>
      <w:r w:rsidR="00C96114">
        <w:rPr>
          <w:rFonts w:ascii="Garamond" w:hAnsi="Garamond"/>
          <w:sz w:val="22"/>
          <w:szCs w:val="22"/>
        </w:rPr>
        <w:t>study</w:t>
      </w:r>
      <w:r w:rsidRPr="00C126FE">
        <w:rPr>
          <w:rFonts w:ascii="Garamond" w:hAnsi="Garamond"/>
          <w:sz w:val="22"/>
          <w:szCs w:val="22"/>
        </w:rPr>
        <w:t xml:space="preserve"> has been pre-registered on Open Science Framework. </w:t>
      </w:r>
    </w:p>
  </w:footnote>
  <w:footnote w:id="7">
    <w:p w14:paraId="5AAEACD0" w14:textId="361B672A" w:rsidR="00AB27FE" w:rsidRPr="00AB27FE" w:rsidRDefault="00AB27FE">
      <w:pPr>
        <w:pStyle w:val="FootnoteText"/>
        <w:rPr>
          <w:rFonts w:ascii="Garamond" w:hAnsi="Garamond"/>
          <w:sz w:val="22"/>
          <w:szCs w:val="22"/>
        </w:rPr>
      </w:pPr>
      <w:r w:rsidRPr="00AB27FE">
        <w:rPr>
          <w:rStyle w:val="FootnoteReference"/>
          <w:rFonts w:ascii="Garamond" w:hAnsi="Garamond"/>
          <w:sz w:val="22"/>
          <w:szCs w:val="22"/>
        </w:rPr>
        <w:footnoteRef/>
      </w:r>
      <w:r w:rsidRPr="00AB27FE">
        <w:rPr>
          <w:rFonts w:ascii="Garamond" w:hAnsi="Garamond"/>
          <w:sz w:val="22"/>
          <w:szCs w:val="22"/>
        </w:rPr>
        <w:t xml:space="preserve"> In this model, the observations for the District of Columbia are omitted because the number of new FFLs remained zero for every month of the observation period. Accordingly, the model perfectly predicts the number of new FFLs using the fixed effects. The results displayed in Table 1 are based on the 46 states where the loophole rule change was in effect.</w:t>
      </w:r>
    </w:p>
  </w:footnote>
  <w:footnote w:id="8">
    <w:p w14:paraId="2A3B8584" w14:textId="1103CB11" w:rsidR="00511088" w:rsidRDefault="00511088">
      <w:pPr>
        <w:pStyle w:val="FootnoteText"/>
      </w:pPr>
      <w:r>
        <w:rPr>
          <w:rStyle w:val="FootnoteReference"/>
        </w:rPr>
        <w:footnoteRef/>
      </w:r>
      <w:r>
        <w:t xml:space="preserve"> </w:t>
      </w:r>
      <w:r w:rsidRPr="00AB27FE">
        <w:rPr>
          <w:rFonts w:ascii="Garamond" w:hAnsi="Garamond"/>
          <w:sz w:val="22"/>
          <w:szCs w:val="22"/>
        </w:rPr>
        <w:t xml:space="preserve">In this model, the observations for </w:t>
      </w:r>
      <w:r>
        <w:rPr>
          <w:rFonts w:ascii="Garamond" w:hAnsi="Garamond"/>
          <w:sz w:val="22"/>
          <w:szCs w:val="22"/>
        </w:rPr>
        <w:t>Hawaii</w:t>
      </w:r>
      <w:r w:rsidRPr="00AB27FE">
        <w:rPr>
          <w:rFonts w:ascii="Garamond" w:hAnsi="Garamond"/>
          <w:sz w:val="22"/>
          <w:szCs w:val="22"/>
        </w:rPr>
        <w:t xml:space="preserve"> are omitted because the number of </w:t>
      </w:r>
      <w:r>
        <w:rPr>
          <w:rFonts w:ascii="Garamond" w:hAnsi="Garamond"/>
          <w:sz w:val="22"/>
          <w:szCs w:val="22"/>
        </w:rPr>
        <w:t xml:space="preserve">background checks was zero </w:t>
      </w:r>
      <w:r w:rsidRPr="00AB27FE">
        <w:rPr>
          <w:rFonts w:ascii="Garamond" w:hAnsi="Garamond"/>
          <w:sz w:val="22"/>
          <w:szCs w:val="22"/>
        </w:rPr>
        <w:t xml:space="preserve">for every month of the observation period. Accordingly, the model perfectly predicts the number of </w:t>
      </w:r>
      <w:r>
        <w:rPr>
          <w:rFonts w:ascii="Garamond" w:hAnsi="Garamond"/>
          <w:sz w:val="22"/>
          <w:szCs w:val="22"/>
        </w:rPr>
        <w:t>background checks</w:t>
      </w:r>
      <w:r w:rsidRPr="00AB27FE">
        <w:rPr>
          <w:rFonts w:ascii="Garamond" w:hAnsi="Garamond"/>
          <w:sz w:val="22"/>
          <w:szCs w:val="22"/>
        </w:rPr>
        <w:t xml:space="preserve"> using the fixed effects. The results displayed in Table </w:t>
      </w:r>
      <w:r>
        <w:rPr>
          <w:rFonts w:ascii="Garamond" w:hAnsi="Garamond"/>
          <w:sz w:val="22"/>
          <w:szCs w:val="22"/>
        </w:rPr>
        <w:t>2</w:t>
      </w:r>
      <w:r w:rsidRPr="00AB27FE">
        <w:rPr>
          <w:rFonts w:ascii="Garamond" w:hAnsi="Garamond"/>
          <w:sz w:val="22"/>
          <w:szCs w:val="22"/>
        </w:rPr>
        <w:t xml:space="preserve"> are based on the </w:t>
      </w:r>
      <w:r w:rsidR="00613DA4">
        <w:rPr>
          <w:rFonts w:ascii="Garamond" w:hAnsi="Garamond"/>
          <w:sz w:val="22"/>
          <w:szCs w:val="22"/>
        </w:rPr>
        <w:t xml:space="preserve">other </w:t>
      </w:r>
      <w:r w:rsidRPr="00AB27FE">
        <w:rPr>
          <w:rFonts w:ascii="Garamond" w:hAnsi="Garamond"/>
          <w:sz w:val="22"/>
          <w:szCs w:val="22"/>
        </w:rPr>
        <w:t xml:space="preserve">46 states </w:t>
      </w:r>
      <w:r w:rsidR="00613DA4">
        <w:rPr>
          <w:rFonts w:ascii="Garamond" w:hAnsi="Garamond"/>
          <w:sz w:val="22"/>
          <w:szCs w:val="22"/>
        </w:rPr>
        <w:t xml:space="preserve">and DC </w:t>
      </w:r>
      <w:r w:rsidRPr="00AB27FE">
        <w:rPr>
          <w:rFonts w:ascii="Garamond" w:hAnsi="Garamond"/>
          <w:sz w:val="22"/>
          <w:szCs w:val="22"/>
        </w:rPr>
        <w:t>where the loophole rule change was in effect.</w:t>
      </w:r>
    </w:p>
  </w:footnote>
  <w:footnote w:id="9">
    <w:p w14:paraId="23D61BA7" w14:textId="25DC6772" w:rsidR="00DC18C6" w:rsidRPr="00AB27FE" w:rsidRDefault="00DC18C6" w:rsidP="00DC18C6">
      <w:pPr>
        <w:pStyle w:val="FootnoteText"/>
        <w:rPr>
          <w:rFonts w:ascii="Garamond" w:hAnsi="Garamond"/>
          <w:sz w:val="22"/>
          <w:szCs w:val="22"/>
        </w:rPr>
      </w:pPr>
      <w:r>
        <w:rPr>
          <w:rStyle w:val="FootnoteReference"/>
        </w:rPr>
        <w:footnoteRef/>
      </w:r>
      <w:r>
        <w:t xml:space="preserve"> </w:t>
      </w:r>
      <w:r w:rsidRPr="00BB6598">
        <w:rPr>
          <w:rFonts w:ascii="Garamond" w:hAnsi="Garamond"/>
        </w:rPr>
        <w:t>As in the DiD analyses in Tables 1 and 2, i</w:t>
      </w:r>
      <w:r w:rsidRPr="00511088">
        <w:rPr>
          <w:rFonts w:ascii="Garamond" w:hAnsi="Garamond"/>
          <w:sz w:val="22"/>
          <w:szCs w:val="22"/>
        </w:rPr>
        <w:t>n the models in</w:t>
      </w:r>
      <w:r>
        <w:rPr>
          <w:rFonts w:ascii="Garamond" w:hAnsi="Garamond"/>
          <w:sz w:val="22"/>
          <w:szCs w:val="22"/>
        </w:rPr>
        <w:t xml:space="preserve"> Table </w:t>
      </w:r>
      <w:r w:rsidR="00511088">
        <w:rPr>
          <w:rFonts w:ascii="Garamond" w:hAnsi="Garamond"/>
          <w:sz w:val="22"/>
          <w:szCs w:val="22"/>
        </w:rPr>
        <w:t>3</w:t>
      </w:r>
      <w:r w:rsidRPr="00AB27FE">
        <w:rPr>
          <w:rFonts w:ascii="Garamond" w:hAnsi="Garamond"/>
          <w:sz w:val="22"/>
          <w:szCs w:val="22"/>
        </w:rPr>
        <w:t xml:space="preserve"> the observations for the District of Columbia are omitted </w:t>
      </w:r>
      <w:r w:rsidR="00511088">
        <w:rPr>
          <w:rFonts w:ascii="Garamond" w:hAnsi="Garamond"/>
          <w:sz w:val="22"/>
          <w:szCs w:val="22"/>
        </w:rPr>
        <w:t xml:space="preserve">in the estimates of FFLs </w:t>
      </w:r>
      <w:r w:rsidRPr="00AB27FE">
        <w:rPr>
          <w:rFonts w:ascii="Garamond" w:hAnsi="Garamond"/>
          <w:sz w:val="22"/>
          <w:szCs w:val="22"/>
        </w:rPr>
        <w:t xml:space="preserve">because the number of new FFLs </w:t>
      </w:r>
      <w:r w:rsidR="00511088">
        <w:rPr>
          <w:rFonts w:ascii="Garamond" w:hAnsi="Garamond"/>
          <w:sz w:val="22"/>
          <w:szCs w:val="22"/>
        </w:rPr>
        <w:t xml:space="preserve">was </w:t>
      </w:r>
      <w:r w:rsidRPr="00AB27FE">
        <w:rPr>
          <w:rFonts w:ascii="Garamond" w:hAnsi="Garamond"/>
          <w:sz w:val="22"/>
          <w:szCs w:val="22"/>
        </w:rPr>
        <w:t>zero for every month of the observation period</w:t>
      </w:r>
      <w:r w:rsidR="00511088">
        <w:rPr>
          <w:rFonts w:ascii="Garamond" w:hAnsi="Garamond"/>
          <w:sz w:val="22"/>
          <w:szCs w:val="22"/>
        </w:rPr>
        <w:t xml:space="preserve"> and the observations for Hawaii were omitted from the model of background checks because Hawaii had zero background checks each month</w:t>
      </w:r>
      <w:r w:rsidRPr="00AB27FE">
        <w:rPr>
          <w:rFonts w:ascii="Garamond" w:hAnsi="Garamond"/>
          <w:sz w:val="22"/>
          <w:szCs w:val="22"/>
        </w:rPr>
        <w:t xml:space="preserve">. </w:t>
      </w:r>
    </w:p>
    <w:p w14:paraId="089ADF92" w14:textId="67EF9AF9" w:rsidR="00DC18C6" w:rsidRDefault="00DC18C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B9B"/>
    <w:multiLevelType w:val="hybridMultilevel"/>
    <w:tmpl w:val="9F80768A"/>
    <w:lvl w:ilvl="0" w:tplc="E71EF292">
      <w:start w:val="1"/>
      <w:numFmt w:val="decimal"/>
      <w:lvlText w:val="(%1)"/>
      <w:lvlJc w:val="left"/>
      <w:pPr>
        <w:ind w:left="720" w:hanging="360"/>
      </w:pPr>
      <w:rPr>
        <w:rFonts w:ascii="Garamond" w:eastAsiaTheme="minorHAnsi" w:hAnsi="Garamond"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B0823"/>
    <w:multiLevelType w:val="multilevel"/>
    <w:tmpl w:val="CBEEE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A4138"/>
    <w:multiLevelType w:val="hybridMultilevel"/>
    <w:tmpl w:val="92DA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B3462"/>
    <w:multiLevelType w:val="hybridMultilevel"/>
    <w:tmpl w:val="C0B2EED2"/>
    <w:lvl w:ilvl="0" w:tplc="197C0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04128"/>
    <w:multiLevelType w:val="hybridMultilevel"/>
    <w:tmpl w:val="7E0AD4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6390F"/>
    <w:multiLevelType w:val="hybridMultilevel"/>
    <w:tmpl w:val="644C41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1F72DB6"/>
    <w:multiLevelType w:val="multilevel"/>
    <w:tmpl w:val="BB78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A3395F"/>
    <w:multiLevelType w:val="hybridMultilevel"/>
    <w:tmpl w:val="58C4AEBE"/>
    <w:lvl w:ilvl="0" w:tplc="06A41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0B5C2E"/>
    <w:multiLevelType w:val="hybridMultilevel"/>
    <w:tmpl w:val="27124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F10F5"/>
    <w:multiLevelType w:val="hybridMultilevel"/>
    <w:tmpl w:val="78221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635518">
    <w:abstractNumId w:val="3"/>
  </w:num>
  <w:num w:numId="2" w16cid:durableId="1973827774">
    <w:abstractNumId w:val="0"/>
  </w:num>
  <w:num w:numId="3" w16cid:durableId="1604530313">
    <w:abstractNumId w:val="4"/>
  </w:num>
  <w:num w:numId="4" w16cid:durableId="1898709290">
    <w:abstractNumId w:val="7"/>
  </w:num>
  <w:num w:numId="5" w16cid:durableId="1443843656">
    <w:abstractNumId w:val="8"/>
  </w:num>
  <w:num w:numId="6" w16cid:durableId="1875582574">
    <w:abstractNumId w:val="2"/>
  </w:num>
  <w:num w:numId="7" w16cid:durableId="464082530">
    <w:abstractNumId w:val="6"/>
  </w:num>
  <w:num w:numId="8" w16cid:durableId="4987152">
    <w:abstractNumId w:val="1"/>
  </w:num>
  <w:num w:numId="9" w16cid:durableId="1283656120">
    <w:abstractNumId w:val="9"/>
  </w:num>
  <w:num w:numId="10" w16cid:durableId="1281955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7E"/>
    <w:rsid w:val="000100DC"/>
    <w:rsid w:val="00013E2A"/>
    <w:rsid w:val="00014113"/>
    <w:rsid w:val="00024386"/>
    <w:rsid w:val="00024CF9"/>
    <w:rsid w:val="00030B67"/>
    <w:rsid w:val="0003134C"/>
    <w:rsid w:val="00034396"/>
    <w:rsid w:val="00034947"/>
    <w:rsid w:val="000356C0"/>
    <w:rsid w:val="00036C35"/>
    <w:rsid w:val="00037633"/>
    <w:rsid w:val="000439E9"/>
    <w:rsid w:val="00044BE2"/>
    <w:rsid w:val="000474DA"/>
    <w:rsid w:val="00053711"/>
    <w:rsid w:val="00056EF1"/>
    <w:rsid w:val="00057B32"/>
    <w:rsid w:val="00062261"/>
    <w:rsid w:val="00065F55"/>
    <w:rsid w:val="00067A27"/>
    <w:rsid w:val="00076ED4"/>
    <w:rsid w:val="0007700E"/>
    <w:rsid w:val="000776A1"/>
    <w:rsid w:val="000802A1"/>
    <w:rsid w:val="00086E01"/>
    <w:rsid w:val="00087FF1"/>
    <w:rsid w:val="000902F7"/>
    <w:rsid w:val="00097C89"/>
    <w:rsid w:val="000A06DE"/>
    <w:rsid w:val="000A23E6"/>
    <w:rsid w:val="000B194D"/>
    <w:rsid w:val="000B3831"/>
    <w:rsid w:val="000C0670"/>
    <w:rsid w:val="000C391E"/>
    <w:rsid w:val="000C42E8"/>
    <w:rsid w:val="000C5995"/>
    <w:rsid w:val="000D2CBD"/>
    <w:rsid w:val="000E6501"/>
    <w:rsid w:val="000E65E2"/>
    <w:rsid w:val="00100955"/>
    <w:rsid w:val="0010100A"/>
    <w:rsid w:val="00101DE4"/>
    <w:rsid w:val="001131DC"/>
    <w:rsid w:val="00114787"/>
    <w:rsid w:val="00114E65"/>
    <w:rsid w:val="00120568"/>
    <w:rsid w:val="0012104A"/>
    <w:rsid w:val="00126168"/>
    <w:rsid w:val="00127B10"/>
    <w:rsid w:val="00132082"/>
    <w:rsid w:val="00134883"/>
    <w:rsid w:val="00136CA7"/>
    <w:rsid w:val="00136D77"/>
    <w:rsid w:val="001370FE"/>
    <w:rsid w:val="00141A66"/>
    <w:rsid w:val="00143305"/>
    <w:rsid w:val="00150163"/>
    <w:rsid w:val="00150B46"/>
    <w:rsid w:val="001520D9"/>
    <w:rsid w:val="0016568D"/>
    <w:rsid w:val="00171CA6"/>
    <w:rsid w:val="0017282C"/>
    <w:rsid w:val="00174C01"/>
    <w:rsid w:val="001756D7"/>
    <w:rsid w:val="001771CF"/>
    <w:rsid w:val="00182E3B"/>
    <w:rsid w:val="001868C3"/>
    <w:rsid w:val="0018788A"/>
    <w:rsid w:val="0019061E"/>
    <w:rsid w:val="0019242D"/>
    <w:rsid w:val="0019566F"/>
    <w:rsid w:val="0019585F"/>
    <w:rsid w:val="00196C8C"/>
    <w:rsid w:val="001A1197"/>
    <w:rsid w:val="001A11CB"/>
    <w:rsid w:val="001A215A"/>
    <w:rsid w:val="001A3AAF"/>
    <w:rsid w:val="001A4841"/>
    <w:rsid w:val="001B30AA"/>
    <w:rsid w:val="001B3BE9"/>
    <w:rsid w:val="001B3C6B"/>
    <w:rsid w:val="001B662A"/>
    <w:rsid w:val="001B7355"/>
    <w:rsid w:val="001D21E7"/>
    <w:rsid w:val="001D3E00"/>
    <w:rsid w:val="001D625F"/>
    <w:rsid w:val="001E06CA"/>
    <w:rsid w:val="001E2B34"/>
    <w:rsid w:val="001E49D7"/>
    <w:rsid w:val="001E50F7"/>
    <w:rsid w:val="001E7C1F"/>
    <w:rsid w:val="001F7181"/>
    <w:rsid w:val="0020107A"/>
    <w:rsid w:val="0020578C"/>
    <w:rsid w:val="00205FE1"/>
    <w:rsid w:val="00206DA9"/>
    <w:rsid w:val="0022034C"/>
    <w:rsid w:val="0022081E"/>
    <w:rsid w:val="00221539"/>
    <w:rsid w:val="00234870"/>
    <w:rsid w:val="00241275"/>
    <w:rsid w:val="00241D65"/>
    <w:rsid w:val="00242DE2"/>
    <w:rsid w:val="002433F2"/>
    <w:rsid w:val="00244AD3"/>
    <w:rsid w:val="00247604"/>
    <w:rsid w:val="002528D5"/>
    <w:rsid w:val="00253165"/>
    <w:rsid w:val="00254DDE"/>
    <w:rsid w:val="0025617D"/>
    <w:rsid w:val="002570D0"/>
    <w:rsid w:val="00264BD0"/>
    <w:rsid w:val="002662BF"/>
    <w:rsid w:val="00270DC3"/>
    <w:rsid w:val="00271658"/>
    <w:rsid w:val="00274722"/>
    <w:rsid w:val="002752FB"/>
    <w:rsid w:val="0027554D"/>
    <w:rsid w:val="00275856"/>
    <w:rsid w:val="002762ED"/>
    <w:rsid w:val="002801E9"/>
    <w:rsid w:val="00280EA8"/>
    <w:rsid w:val="0028624E"/>
    <w:rsid w:val="0029055D"/>
    <w:rsid w:val="00290F02"/>
    <w:rsid w:val="00294144"/>
    <w:rsid w:val="002972F0"/>
    <w:rsid w:val="002A26C5"/>
    <w:rsid w:val="002A3323"/>
    <w:rsid w:val="002A484A"/>
    <w:rsid w:val="002B040C"/>
    <w:rsid w:val="002B36DE"/>
    <w:rsid w:val="002B4865"/>
    <w:rsid w:val="002C1A3D"/>
    <w:rsid w:val="002C3CB8"/>
    <w:rsid w:val="002C4780"/>
    <w:rsid w:val="002C596D"/>
    <w:rsid w:val="002D11C3"/>
    <w:rsid w:val="002E44EA"/>
    <w:rsid w:val="002F21D8"/>
    <w:rsid w:val="003028ED"/>
    <w:rsid w:val="003149BA"/>
    <w:rsid w:val="00314A02"/>
    <w:rsid w:val="0031511B"/>
    <w:rsid w:val="00321935"/>
    <w:rsid w:val="003279B8"/>
    <w:rsid w:val="00330CB8"/>
    <w:rsid w:val="00332CDD"/>
    <w:rsid w:val="00334EC9"/>
    <w:rsid w:val="00336149"/>
    <w:rsid w:val="00340DD0"/>
    <w:rsid w:val="0035517A"/>
    <w:rsid w:val="003559C3"/>
    <w:rsid w:val="003566A9"/>
    <w:rsid w:val="00360323"/>
    <w:rsid w:val="00360D3F"/>
    <w:rsid w:val="003646A2"/>
    <w:rsid w:val="00367D6A"/>
    <w:rsid w:val="0037123D"/>
    <w:rsid w:val="0037173A"/>
    <w:rsid w:val="00373487"/>
    <w:rsid w:val="003763BF"/>
    <w:rsid w:val="003823F5"/>
    <w:rsid w:val="0038272C"/>
    <w:rsid w:val="00384C38"/>
    <w:rsid w:val="003918EA"/>
    <w:rsid w:val="00392853"/>
    <w:rsid w:val="00397AED"/>
    <w:rsid w:val="003B1DFA"/>
    <w:rsid w:val="003B4DE5"/>
    <w:rsid w:val="003B6332"/>
    <w:rsid w:val="003B6AA3"/>
    <w:rsid w:val="003C004C"/>
    <w:rsid w:val="003C1411"/>
    <w:rsid w:val="003D393B"/>
    <w:rsid w:val="003F01FF"/>
    <w:rsid w:val="003F14B4"/>
    <w:rsid w:val="003F17D2"/>
    <w:rsid w:val="003F45E0"/>
    <w:rsid w:val="003F64E7"/>
    <w:rsid w:val="003F7D64"/>
    <w:rsid w:val="004060DB"/>
    <w:rsid w:val="004063E0"/>
    <w:rsid w:val="00410E8B"/>
    <w:rsid w:val="00411618"/>
    <w:rsid w:val="0041167E"/>
    <w:rsid w:val="00415983"/>
    <w:rsid w:val="0041759C"/>
    <w:rsid w:val="0041793D"/>
    <w:rsid w:val="00417D9A"/>
    <w:rsid w:val="0042711F"/>
    <w:rsid w:val="00431BA0"/>
    <w:rsid w:val="004342DC"/>
    <w:rsid w:val="0043775F"/>
    <w:rsid w:val="00443BE9"/>
    <w:rsid w:val="0044403F"/>
    <w:rsid w:val="004452C1"/>
    <w:rsid w:val="00445420"/>
    <w:rsid w:val="004455BD"/>
    <w:rsid w:val="004513A3"/>
    <w:rsid w:val="004520FB"/>
    <w:rsid w:val="00453CDE"/>
    <w:rsid w:val="004545D8"/>
    <w:rsid w:val="00455860"/>
    <w:rsid w:val="00462431"/>
    <w:rsid w:val="004674AE"/>
    <w:rsid w:val="00467793"/>
    <w:rsid w:val="00473665"/>
    <w:rsid w:val="00475A19"/>
    <w:rsid w:val="00475FE6"/>
    <w:rsid w:val="00476BA5"/>
    <w:rsid w:val="00482BA6"/>
    <w:rsid w:val="00483A82"/>
    <w:rsid w:val="004869C4"/>
    <w:rsid w:val="00486E22"/>
    <w:rsid w:val="0049036D"/>
    <w:rsid w:val="00491713"/>
    <w:rsid w:val="004976B0"/>
    <w:rsid w:val="004B3CE1"/>
    <w:rsid w:val="004B527F"/>
    <w:rsid w:val="004C119B"/>
    <w:rsid w:val="004C1986"/>
    <w:rsid w:val="004C35F4"/>
    <w:rsid w:val="004D04A3"/>
    <w:rsid w:val="004D25CF"/>
    <w:rsid w:val="004D6234"/>
    <w:rsid w:val="004E189D"/>
    <w:rsid w:val="004E4D94"/>
    <w:rsid w:val="004E60DF"/>
    <w:rsid w:val="004F5076"/>
    <w:rsid w:val="00502D04"/>
    <w:rsid w:val="00503087"/>
    <w:rsid w:val="005049E0"/>
    <w:rsid w:val="0051105A"/>
    <w:rsid w:val="00511088"/>
    <w:rsid w:val="005117A8"/>
    <w:rsid w:val="00517371"/>
    <w:rsid w:val="00527161"/>
    <w:rsid w:val="0052793B"/>
    <w:rsid w:val="005374F8"/>
    <w:rsid w:val="00541742"/>
    <w:rsid w:val="00545F61"/>
    <w:rsid w:val="005474F1"/>
    <w:rsid w:val="00565239"/>
    <w:rsid w:val="00565E3C"/>
    <w:rsid w:val="00567AD3"/>
    <w:rsid w:val="00567E2B"/>
    <w:rsid w:val="005717F4"/>
    <w:rsid w:val="005718C5"/>
    <w:rsid w:val="0057567E"/>
    <w:rsid w:val="0057653A"/>
    <w:rsid w:val="005847BB"/>
    <w:rsid w:val="00597BC8"/>
    <w:rsid w:val="005A0ACC"/>
    <w:rsid w:val="005A6561"/>
    <w:rsid w:val="005A66DD"/>
    <w:rsid w:val="005B16A9"/>
    <w:rsid w:val="005B39A5"/>
    <w:rsid w:val="005B7EA7"/>
    <w:rsid w:val="005C23AA"/>
    <w:rsid w:val="005D0A10"/>
    <w:rsid w:val="005D2C16"/>
    <w:rsid w:val="005D6C6A"/>
    <w:rsid w:val="005E1015"/>
    <w:rsid w:val="005E33E4"/>
    <w:rsid w:val="005E4527"/>
    <w:rsid w:val="005F2F08"/>
    <w:rsid w:val="005F4AFC"/>
    <w:rsid w:val="005F5FC7"/>
    <w:rsid w:val="005F63A7"/>
    <w:rsid w:val="005F7172"/>
    <w:rsid w:val="005F7936"/>
    <w:rsid w:val="00604FCC"/>
    <w:rsid w:val="00606B56"/>
    <w:rsid w:val="00610C2F"/>
    <w:rsid w:val="00613DA4"/>
    <w:rsid w:val="006158DF"/>
    <w:rsid w:val="00616F72"/>
    <w:rsid w:val="00620904"/>
    <w:rsid w:val="00621BE4"/>
    <w:rsid w:val="0062371C"/>
    <w:rsid w:val="006246AD"/>
    <w:rsid w:val="00626CDE"/>
    <w:rsid w:val="006277A0"/>
    <w:rsid w:val="0063376D"/>
    <w:rsid w:val="00636505"/>
    <w:rsid w:val="00644673"/>
    <w:rsid w:val="00647295"/>
    <w:rsid w:val="006515AA"/>
    <w:rsid w:val="00655405"/>
    <w:rsid w:val="00655A65"/>
    <w:rsid w:val="0066383B"/>
    <w:rsid w:val="0066488C"/>
    <w:rsid w:val="00664D6D"/>
    <w:rsid w:val="00675557"/>
    <w:rsid w:val="00675F05"/>
    <w:rsid w:val="0067764A"/>
    <w:rsid w:val="00683A95"/>
    <w:rsid w:val="00683E73"/>
    <w:rsid w:val="006858CA"/>
    <w:rsid w:val="0068648E"/>
    <w:rsid w:val="0069301C"/>
    <w:rsid w:val="006A0FBC"/>
    <w:rsid w:val="006A3783"/>
    <w:rsid w:val="006A6579"/>
    <w:rsid w:val="006A699D"/>
    <w:rsid w:val="006A7168"/>
    <w:rsid w:val="006A7787"/>
    <w:rsid w:val="006A79B9"/>
    <w:rsid w:val="006A7E07"/>
    <w:rsid w:val="006B32FF"/>
    <w:rsid w:val="006B614B"/>
    <w:rsid w:val="006C01A5"/>
    <w:rsid w:val="006C1C73"/>
    <w:rsid w:val="006C3EAE"/>
    <w:rsid w:val="006C5840"/>
    <w:rsid w:val="006D1A8B"/>
    <w:rsid w:val="006D3119"/>
    <w:rsid w:val="006E09F1"/>
    <w:rsid w:val="006E4C70"/>
    <w:rsid w:val="006E6679"/>
    <w:rsid w:val="006E7800"/>
    <w:rsid w:val="006F3A7C"/>
    <w:rsid w:val="006F554C"/>
    <w:rsid w:val="00702AE9"/>
    <w:rsid w:val="007036B9"/>
    <w:rsid w:val="00705D13"/>
    <w:rsid w:val="00705D41"/>
    <w:rsid w:val="00710DED"/>
    <w:rsid w:val="007132BB"/>
    <w:rsid w:val="0071386F"/>
    <w:rsid w:val="00715110"/>
    <w:rsid w:val="007152A6"/>
    <w:rsid w:val="0071664A"/>
    <w:rsid w:val="007233F2"/>
    <w:rsid w:val="00725407"/>
    <w:rsid w:val="007255DC"/>
    <w:rsid w:val="0072612B"/>
    <w:rsid w:val="0072732D"/>
    <w:rsid w:val="007303C0"/>
    <w:rsid w:val="007379FC"/>
    <w:rsid w:val="007416A8"/>
    <w:rsid w:val="00750806"/>
    <w:rsid w:val="0075128F"/>
    <w:rsid w:val="0075260F"/>
    <w:rsid w:val="00753DA3"/>
    <w:rsid w:val="00756A51"/>
    <w:rsid w:val="00757A40"/>
    <w:rsid w:val="007609D8"/>
    <w:rsid w:val="007655EA"/>
    <w:rsid w:val="007702CE"/>
    <w:rsid w:val="0077134C"/>
    <w:rsid w:val="00772837"/>
    <w:rsid w:val="007745E4"/>
    <w:rsid w:val="007809A0"/>
    <w:rsid w:val="007832F7"/>
    <w:rsid w:val="007835DB"/>
    <w:rsid w:val="00785FF8"/>
    <w:rsid w:val="007906D8"/>
    <w:rsid w:val="00795064"/>
    <w:rsid w:val="007962F5"/>
    <w:rsid w:val="00796FD4"/>
    <w:rsid w:val="007A76D2"/>
    <w:rsid w:val="007B25D1"/>
    <w:rsid w:val="007B3A9E"/>
    <w:rsid w:val="007B63CD"/>
    <w:rsid w:val="007C04AC"/>
    <w:rsid w:val="007C0AA7"/>
    <w:rsid w:val="007C67E1"/>
    <w:rsid w:val="007D2890"/>
    <w:rsid w:val="007D3081"/>
    <w:rsid w:val="007D4EE7"/>
    <w:rsid w:val="007D7557"/>
    <w:rsid w:val="007E6645"/>
    <w:rsid w:val="00805FD2"/>
    <w:rsid w:val="008127CE"/>
    <w:rsid w:val="00814197"/>
    <w:rsid w:val="00815048"/>
    <w:rsid w:val="0082240B"/>
    <w:rsid w:val="0082297C"/>
    <w:rsid w:val="008233ED"/>
    <w:rsid w:val="008257BC"/>
    <w:rsid w:val="00825CF1"/>
    <w:rsid w:val="00827613"/>
    <w:rsid w:val="008330B2"/>
    <w:rsid w:val="00836D1E"/>
    <w:rsid w:val="00842288"/>
    <w:rsid w:val="00843505"/>
    <w:rsid w:val="00843E2F"/>
    <w:rsid w:val="00845C7E"/>
    <w:rsid w:val="008520B4"/>
    <w:rsid w:val="00855FFE"/>
    <w:rsid w:val="008604A3"/>
    <w:rsid w:val="008642AB"/>
    <w:rsid w:val="00864AC4"/>
    <w:rsid w:val="0086677B"/>
    <w:rsid w:val="00866DD2"/>
    <w:rsid w:val="00872C1C"/>
    <w:rsid w:val="00872D73"/>
    <w:rsid w:val="008743E7"/>
    <w:rsid w:val="00876F26"/>
    <w:rsid w:val="0088451B"/>
    <w:rsid w:val="00891FB0"/>
    <w:rsid w:val="008932B7"/>
    <w:rsid w:val="0089347C"/>
    <w:rsid w:val="008A0607"/>
    <w:rsid w:val="008A2554"/>
    <w:rsid w:val="008A500C"/>
    <w:rsid w:val="008B0B8D"/>
    <w:rsid w:val="008B6212"/>
    <w:rsid w:val="008C30D3"/>
    <w:rsid w:val="008C5500"/>
    <w:rsid w:val="008D7D5D"/>
    <w:rsid w:val="008E0A9C"/>
    <w:rsid w:val="008E39B9"/>
    <w:rsid w:val="008F2299"/>
    <w:rsid w:val="008F39D9"/>
    <w:rsid w:val="008F5BDC"/>
    <w:rsid w:val="008F5F21"/>
    <w:rsid w:val="009023A6"/>
    <w:rsid w:val="009060BF"/>
    <w:rsid w:val="00911EFF"/>
    <w:rsid w:val="0091231D"/>
    <w:rsid w:val="009152A6"/>
    <w:rsid w:val="00923710"/>
    <w:rsid w:val="00932E4C"/>
    <w:rsid w:val="00933363"/>
    <w:rsid w:val="0093380D"/>
    <w:rsid w:val="009415CA"/>
    <w:rsid w:val="00944A92"/>
    <w:rsid w:val="00945F3C"/>
    <w:rsid w:val="00963829"/>
    <w:rsid w:val="00963B0B"/>
    <w:rsid w:val="00967A13"/>
    <w:rsid w:val="009707A5"/>
    <w:rsid w:val="00973362"/>
    <w:rsid w:val="00974868"/>
    <w:rsid w:val="00977D18"/>
    <w:rsid w:val="009800ED"/>
    <w:rsid w:val="00982C15"/>
    <w:rsid w:val="009934BF"/>
    <w:rsid w:val="00993CF0"/>
    <w:rsid w:val="0099474C"/>
    <w:rsid w:val="009973C4"/>
    <w:rsid w:val="009A266F"/>
    <w:rsid w:val="009A4031"/>
    <w:rsid w:val="009B7E00"/>
    <w:rsid w:val="009C48E2"/>
    <w:rsid w:val="009C55F8"/>
    <w:rsid w:val="009C74DC"/>
    <w:rsid w:val="009C7D94"/>
    <w:rsid w:val="009D2561"/>
    <w:rsid w:val="009E1701"/>
    <w:rsid w:val="009E2776"/>
    <w:rsid w:val="009E28FF"/>
    <w:rsid w:val="009F627D"/>
    <w:rsid w:val="00A0097D"/>
    <w:rsid w:val="00A02421"/>
    <w:rsid w:val="00A04E9C"/>
    <w:rsid w:val="00A12DF3"/>
    <w:rsid w:val="00A1627B"/>
    <w:rsid w:val="00A23088"/>
    <w:rsid w:val="00A33335"/>
    <w:rsid w:val="00A34C48"/>
    <w:rsid w:val="00A35B36"/>
    <w:rsid w:val="00A36C75"/>
    <w:rsid w:val="00A42768"/>
    <w:rsid w:val="00A47820"/>
    <w:rsid w:val="00A52486"/>
    <w:rsid w:val="00A5284E"/>
    <w:rsid w:val="00A52BEF"/>
    <w:rsid w:val="00A56EB2"/>
    <w:rsid w:val="00A626AC"/>
    <w:rsid w:val="00A66680"/>
    <w:rsid w:val="00A7291E"/>
    <w:rsid w:val="00A7401F"/>
    <w:rsid w:val="00A83085"/>
    <w:rsid w:val="00A8606D"/>
    <w:rsid w:val="00A86310"/>
    <w:rsid w:val="00A86E18"/>
    <w:rsid w:val="00A906BA"/>
    <w:rsid w:val="00A90DDF"/>
    <w:rsid w:val="00A92316"/>
    <w:rsid w:val="00A946A4"/>
    <w:rsid w:val="00A94D9C"/>
    <w:rsid w:val="00A94F81"/>
    <w:rsid w:val="00A976E0"/>
    <w:rsid w:val="00AA31C4"/>
    <w:rsid w:val="00AB27FE"/>
    <w:rsid w:val="00AC09FA"/>
    <w:rsid w:val="00AC206A"/>
    <w:rsid w:val="00AC69F0"/>
    <w:rsid w:val="00AD3A2C"/>
    <w:rsid w:val="00AD48B3"/>
    <w:rsid w:val="00AD5F37"/>
    <w:rsid w:val="00AD5FF8"/>
    <w:rsid w:val="00AD6EB5"/>
    <w:rsid w:val="00AD735F"/>
    <w:rsid w:val="00AD7F0A"/>
    <w:rsid w:val="00AE50C0"/>
    <w:rsid w:val="00AF2881"/>
    <w:rsid w:val="00AF2D71"/>
    <w:rsid w:val="00AF7596"/>
    <w:rsid w:val="00B07471"/>
    <w:rsid w:val="00B1379E"/>
    <w:rsid w:val="00B249BB"/>
    <w:rsid w:val="00B332D4"/>
    <w:rsid w:val="00B36213"/>
    <w:rsid w:val="00B4149F"/>
    <w:rsid w:val="00B445A7"/>
    <w:rsid w:val="00B46D93"/>
    <w:rsid w:val="00B475B9"/>
    <w:rsid w:val="00B50F6E"/>
    <w:rsid w:val="00B5163F"/>
    <w:rsid w:val="00B56894"/>
    <w:rsid w:val="00B65C8B"/>
    <w:rsid w:val="00B67EF4"/>
    <w:rsid w:val="00B731A7"/>
    <w:rsid w:val="00B76184"/>
    <w:rsid w:val="00B86A67"/>
    <w:rsid w:val="00B92A4B"/>
    <w:rsid w:val="00B92E63"/>
    <w:rsid w:val="00B9408B"/>
    <w:rsid w:val="00BA068B"/>
    <w:rsid w:val="00BA25B0"/>
    <w:rsid w:val="00BA2CD8"/>
    <w:rsid w:val="00BA41D0"/>
    <w:rsid w:val="00BB6598"/>
    <w:rsid w:val="00BC2D50"/>
    <w:rsid w:val="00BC3336"/>
    <w:rsid w:val="00BC4C7D"/>
    <w:rsid w:val="00BC4CB4"/>
    <w:rsid w:val="00BC52CC"/>
    <w:rsid w:val="00BC7FE2"/>
    <w:rsid w:val="00BD49E3"/>
    <w:rsid w:val="00BD7F3C"/>
    <w:rsid w:val="00BE2D38"/>
    <w:rsid w:val="00BE3080"/>
    <w:rsid w:val="00BE3BD1"/>
    <w:rsid w:val="00BE44CB"/>
    <w:rsid w:val="00BE6902"/>
    <w:rsid w:val="00BF2B84"/>
    <w:rsid w:val="00BF4954"/>
    <w:rsid w:val="00BF5759"/>
    <w:rsid w:val="00C0128D"/>
    <w:rsid w:val="00C01C60"/>
    <w:rsid w:val="00C050C3"/>
    <w:rsid w:val="00C06E62"/>
    <w:rsid w:val="00C101CE"/>
    <w:rsid w:val="00C110BE"/>
    <w:rsid w:val="00C126FE"/>
    <w:rsid w:val="00C12CB4"/>
    <w:rsid w:val="00C14CC0"/>
    <w:rsid w:val="00C22A20"/>
    <w:rsid w:val="00C26342"/>
    <w:rsid w:val="00C26D41"/>
    <w:rsid w:val="00C344B5"/>
    <w:rsid w:val="00C35C20"/>
    <w:rsid w:val="00C40AF9"/>
    <w:rsid w:val="00C45216"/>
    <w:rsid w:val="00C51520"/>
    <w:rsid w:val="00C528DB"/>
    <w:rsid w:val="00C57BB8"/>
    <w:rsid w:val="00C60447"/>
    <w:rsid w:val="00C711E0"/>
    <w:rsid w:val="00C720D9"/>
    <w:rsid w:val="00C87A62"/>
    <w:rsid w:val="00C932E0"/>
    <w:rsid w:val="00C96114"/>
    <w:rsid w:val="00CA3701"/>
    <w:rsid w:val="00CA7BEC"/>
    <w:rsid w:val="00CA7CE0"/>
    <w:rsid w:val="00CA7F0A"/>
    <w:rsid w:val="00CB0214"/>
    <w:rsid w:val="00CB3240"/>
    <w:rsid w:val="00CC0B9D"/>
    <w:rsid w:val="00CC5528"/>
    <w:rsid w:val="00D00716"/>
    <w:rsid w:val="00D01D2F"/>
    <w:rsid w:val="00D0352A"/>
    <w:rsid w:val="00D04A44"/>
    <w:rsid w:val="00D10AD7"/>
    <w:rsid w:val="00D14D2A"/>
    <w:rsid w:val="00D16DF7"/>
    <w:rsid w:val="00D2321D"/>
    <w:rsid w:val="00D3098D"/>
    <w:rsid w:val="00D34DFE"/>
    <w:rsid w:val="00D37D80"/>
    <w:rsid w:val="00D44F05"/>
    <w:rsid w:val="00D528C5"/>
    <w:rsid w:val="00D64202"/>
    <w:rsid w:val="00D6617F"/>
    <w:rsid w:val="00D67057"/>
    <w:rsid w:val="00D70730"/>
    <w:rsid w:val="00D862BF"/>
    <w:rsid w:val="00D86F39"/>
    <w:rsid w:val="00DA4A9B"/>
    <w:rsid w:val="00DB2DBD"/>
    <w:rsid w:val="00DB6270"/>
    <w:rsid w:val="00DB64D0"/>
    <w:rsid w:val="00DC18C6"/>
    <w:rsid w:val="00DC250B"/>
    <w:rsid w:val="00DC3E99"/>
    <w:rsid w:val="00DD0652"/>
    <w:rsid w:val="00DD0EB0"/>
    <w:rsid w:val="00DD2210"/>
    <w:rsid w:val="00DD3E61"/>
    <w:rsid w:val="00DD438F"/>
    <w:rsid w:val="00DD45AB"/>
    <w:rsid w:val="00DD6097"/>
    <w:rsid w:val="00DD75DF"/>
    <w:rsid w:val="00DE0CBC"/>
    <w:rsid w:val="00DE5553"/>
    <w:rsid w:val="00E11220"/>
    <w:rsid w:val="00E12F6A"/>
    <w:rsid w:val="00E13428"/>
    <w:rsid w:val="00E173F1"/>
    <w:rsid w:val="00E22B4F"/>
    <w:rsid w:val="00E34357"/>
    <w:rsid w:val="00E34EF9"/>
    <w:rsid w:val="00E35867"/>
    <w:rsid w:val="00E43046"/>
    <w:rsid w:val="00E448F1"/>
    <w:rsid w:val="00E50502"/>
    <w:rsid w:val="00E56D1D"/>
    <w:rsid w:val="00E62B91"/>
    <w:rsid w:val="00E65AD8"/>
    <w:rsid w:val="00E66278"/>
    <w:rsid w:val="00E7099F"/>
    <w:rsid w:val="00E71B52"/>
    <w:rsid w:val="00E727FB"/>
    <w:rsid w:val="00E750D0"/>
    <w:rsid w:val="00E9029C"/>
    <w:rsid w:val="00E9150D"/>
    <w:rsid w:val="00E91DFE"/>
    <w:rsid w:val="00E920DC"/>
    <w:rsid w:val="00E93715"/>
    <w:rsid w:val="00E93951"/>
    <w:rsid w:val="00E96D27"/>
    <w:rsid w:val="00E96E35"/>
    <w:rsid w:val="00EB2750"/>
    <w:rsid w:val="00EB479A"/>
    <w:rsid w:val="00EC2DB0"/>
    <w:rsid w:val="00ED3D29"/>
    <w:rsid w:val="00ED484B"/>
    <w:rsid w:val="00ED60FE"/>
    <w:rsid w:val="00ED7AA8"/>
    <w:rsid w:val="00EE2E98"/>
    <w:rsid w:val="00EE3258"/>
    <w:rsid w:val="00EE3DCA"/>
    <w:rsid w:val="00EE5082"/>
    <w:rsid w:val="00EF0451"/>
    <w:rsid w:val="00EF1732"/>
    <w:rsid w:val="00EF1A92"/>
    <w:rsid w:val="00EF42C9"/>
    <w:rsid w:val="00EF4C35"/>
    <w:rsid w:val="00EF50D8"/>
    <w:rsid w:val="00F00DC6"/>
    <w:rsid w:val="00F05141"/>
    <w:rsid w:val="00F12BF6"/>
    <w:rsid w:val="00F13DC7"/>
    <w:rsid w:val="00F1467E"/>
    <w:rsid w:val="00F23B02"/>
    <w:rsid w:val="00F2511E"/>
    <w:rsid w:val="00F4048E"/>
    <w:rsid w:val="00F41469"/>
    <w:rsid w:val="00F415F1"/>
    <w:rsid w:val="00F4412C"/>
    <w:rsid w:val="00F5341B"/>
    <w:rsid w:val="00F61693"/>
    <w:rsid w:val="00F632E9"/>
    <w:rsid w:val="00F63C3C"/>
    <w:rsid w:val="00F67652"/>
    <w:rsid w:val="00F70D39"/>
    <w:rsid w:val="00F723D2"/>
    <w:rsid w:val="00F81ACC"/>
    <w:rsid w:val="00F84561"/>
    <w:rsid w:val="00F8464B"/>
    <w:rsid w:val="00F87395"/>
    <w:rsid w:val="00F877CE"/>
    <w:rsid w:val="00F908FF"/>
    <w:rsid w:val="00FA2C2D"/>
    <w:rsid w:val="00FB0828"/>
    <w:rsid w:val="00FB5EE0"/>
    <w:rsid w:val="00FC0083"/>
    <w:rsid w:val="00FC1B43"/>
    <w:rsid w:val="00FC1F0D"/>
    <w:rsid w:val="00FC207D"/>
    <w:rsid w:val="00FC4EBD"/>
    <w:rsid w:val="00FD1A49"/>
    <w:rsid w:val="00FD69A3"/>
    <w:rsid w:val="00FE2D40"/>
    <w:rsid w:val="00FE596E"/>
    <w:rsid w:val="00FE7102"/>
    <w:rsid w:val="00FE7B36"/>
    <w:rsid w:val="00FF1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5E68F"/>
  <w15:chartTrackingRefBased/>
  <w15:docId w15:val="{A4C03EA0-30FF-41B2-AE6F-F92F2C73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59C"/>
    <w:pPr>
      <w:spacing w:after="0" w:line="320" w:lineRule="exact"/>
    </w:pPr>
    <w:rPr>
      <w:kern w:val="0"/>
      <w14:ligatures w14:val="none"/>
    </w:rPr>
  </w:style>
  <w:style w:type="paragraph" w:styleId="Heading1">
    <w:name w:val="heading 1"/>
    <w:basedOn w:val="Normal"/>
    <w:next w:val="Normal"/>
    <w:link w:val="Heading1Char"/>
    <w:uiPriority w:val="9"/>
    <w:qFormat/>
    <w:rsid w:val="00575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6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6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6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6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67E"/>
    <w:rPr>
      <w:rFonts w:eastAsiaTheme="majorEastAsia" w:cstheme="majorBidi"/>
      <w:color w:val="272727" w:themeColor="text1" w:themeTint="D8"/>
    </w:rPr>
  </w:style>
  <w:style w:type="paragraph" w:styleId="Title">
    <w:name w:val="Title"/>
    <w:basedOn w:val="Normal"/>
    <w:next w:val="Normal"/>
    <w:link w:val="TitleChar"/>
    <w:uiPriority w:val="10"/>
    <w:qFormat/>
    <w:rsid w:val="00575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67E"/>
    <w:pPr>
      <w:spacing w:before="160"/>
      <w:jc w:val="center"/>
    </w:pPr>
    <w:rPr>
      <w:i/>
      <w:iCs/>
      <w:color w:val="404040" w:themeColor="text1" w:themeTint="BF"/>
    </w:rPr>
  </w:style>
  <w:style w:type="character" w:customStyle="1" w:styleId="QuoteChar">
    <w:name w:val="Quote Char"/>
    <w:basedOn w:val="DefaultParagraphFont"/>
    <w:link w:val="Quote"/>
    <w:uiPriority w:val="29"/>
    <w:rsid w:val="0057567E"/>
    <w:rPr>
      <w:i/>
      <w:iCs/>
      <w:color w:val="404040" w:themeColor="text1" w:themeTint="BF"/>
    </w:rPr>
  </w:style>
  <w:style w:type="paragraph" w:styleId="ListParagraph">
    <w:name w:val="List Paragraph"/>
    <w:basedOn w:val="Normal"/>
    <w:uiPriority w:val="34"/>
    <w:qFormat/>
    <w:rsid w:val="0057567E"/>
    <w:pPr>
      <w:ind w:left="720"/>
      <w:contextualSpacing/>
    </w:pPr>
  </w:style>
  <w:style w:type="character" w:styleId="IntenseEmphasis">
    <w:name w:val="Intense Emphasis"/>
    <w:basedOn w:val="DefaultParagraphFont"/>
    <w:uiPriority w:val="21"/>
    <w:qFormat/>
    <w:rsid w:val="0057567E"/>
    <w:rPr>
      <w:i/>
      <w:iCs/>
      <w:color w:val="0F4761" w:themeColor="accent1" w:themeShade="BF"/>
    </w:rPr>
  </w:style>
  <w:style w:type="paragraph" w:styleId="IntenseQuote">
    <w:name w:val="Intense Quote"/>
    <w:basedOn w:val="Normal"/>
    <w:next w:val="Normal"/>
    <w:link w:val="IntenseQuoteChar"/>
    <w:uiPriority w:val="30"/>
    <w:qFormat/>
    <w:rsid w:val="00575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67E"/>
    <w:rPr>
      <w:i/>
      <w:iCs/>
      <w:color w:val="0F4761" w:themeColor="accent1" w:themeShade="BF"/>
    </w:rPr>
  </w:style>
  <w:style w:type="character" w:styleId="IntenseReference">
    <w:name w:val="Intense Reference"/>
    <w:basedOn w:val="DefaultParagraphFont"/>
    <w:uiPriority w:val="32"/>
    <w:qFormat/>
    <w:rsid w:val="0057567E"/>
    <w:rPr>
      <w:b/>
      <w:bCs/>
      <w:smallCaps/>
      <w:color w:val="0F4761" w:themeColor="accent1" w:themeShade="BF"/>
      <w:spacing w:val="5"/>
    </w:rPr>
  </w:style>
  <w:style w:type="paragraph" w:styleId="Header">
    <w:name w:val="header"/>
    <w:basedOn w:val="Normal"/>
    <w:link w:val="HeaderChar"/>
    <w:uiPriority w:val="99"/>
    <w:unhideWhenUsed/>
    <w:rsid w:val="0057567E"/>
    <w:pPr>
      <w:tabs>
        <w:tab w:val="center" w:pos="4680"/>
        <w:tab w:val="right" w:pos="9360"/>
      </w:tabs>
    </w:pPr>
  </w:style>
  <w:style w:type="character" w:customStyle="1" w:styleId="HeaderChar">
    <w:name w:val="Header Char"/>
    <w:basedOn w:val="DefaultParagraphFont"/>
    <w:link w:val="Header"/>
    <w:uiPriority w:val="99"/>
    <w:rsid w:val="0057567E"/>
    <w:rPr>
      <w:kern w:val="0"/>
      <w14:ligatures w14:val="none"/>
    </w:rPr>
  </w:style>
  <w:style w:type="paragraph" w:styleId="Footer">
    <w:name w:val="footer"/>
    <w:basedOn w:val="Normal"/>
    <w:link w:val="FooterChar"/>
    <w:uiPriority w:val="99"/>
    <w:unhideWhenUsed/>
    <w:rsid w:val="0057567E"/>
    <w:pPr>
      <w:tabs>
        <w:tab w:val="center" w:pos="4680"/>
        <w:tab w:val="right" w:pos="9360"/>
      </w:tabs>
    </w:pPr>
  </w:style>
  <w:style w:type="character" w:customStyle="1" w:styleId="FooterChar">
    <w:name w:val="Footer Char"/>
    <w:basedOn w:val="DefaultParagraphFont"/>
    <w:link w:val="Footer"/>
    <w:uiPriority w:val="99"/>
    <w:rsid w:val="0057567E"/>
    <w:rPr>
      <w:kern w:val="0"/>
      <w14:ligatures w14:val="none"/>
    </w:rPr>
  </w:style>
  <w:style w:type="paragraph" w:styleId="NormalWeb">
    <w:name w:val="Normal (Web)"/>
    <w:basedOn w:val="Normal"/>
    <w:uiPriority w:val="99"/>
    <w:unhideWhenUsed/>
    <w:rsid w:val="005756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567E"/>
    <w:rPr>
      <w:color w:val="467886" w:themeColor="hyperlink"/>
      <w:u w:val="single"/>
    </w:rPr>
  </w:style>
  <w:style w:type="paragraph" w:styleId="FootnoteText">
    <w:name w:val="footnote text"/>
    <w:basedOn w:val="Normal"/>
    <w:link w:val="FootnoteTextChar"/>
    <w:uiPriority w:val="99"/>
    <w:unhideWhenUsed/>
    <w:rsid w:val="0057567E"/>
    <w:pPr>
      <w:spacing w:line="240" w:lineRule="auto"/>
    </w:pPr>
    <w:rPr>
      <w:sz w:val="20"/>
      <w:szCs w:val="20"/>
    </w:rPr>
  </w:style>
  <w:style w:type="character" w:customStyle="1" w:styleId="FootnoteTextChar">
    <w:name w:val="Footnote Text Char"/>
    <w:basedOn w:val="DefaultParagraphFont"/>
    <w:link w:val="FootnoteText"/>
    <w:uiPriority w:val="99"/>
    <w:rsid w:val="0057567E"/>
    <w:rPr>
      <w:kern w:val="0"/>
      <w:sz w:val="20"/>
      <w:szCs w:val="20"/>
      <w14:ligatures w14:val="none"/>
    </w:rPr>
  </w:style>
  <w:style w:type="character" w:styleId="FootnoteReference">
    <w:name w:val="footnote reference"/>
    <w:basedOn w:val="DefaultParagraphFont"/>
    <w:uiPriority w:val="99"/>
    <w:semiHidden/>
    <w:unhideWhenUsed/>
    <w:rsid w:val="0057567E"/>
    <w:rPr>
      <w:vertAlign w:val="superscript"/>
    </w:rPr>
  </w:style>
  <w:style w:type="paragraph" w:styleId="Revision">
    <w:name w:val="Revision"/>
    <w:hidden/>
    <w:uiPriority w:val="99"/>
    <w:semiHidden/>
    <w:rsid w:val="00683A95"/>
    <w:pPr>
      <w:spacing w:after="0" w:line="240" w:lineRule="auto"/>
    </w:pPr>
    <w:rPr>
      <w:kern w:val="0"/>
      <w14:ligatures w14:val="none"/>
    </w:rPr>
  </w:style>
  <w:style w:type="character" w:styleId="UnresolvedMention">
    <w:name w:val="Unresolved Mention"/>
    <w:basedOn w:val="DefaultParagraphFont"/>
    <w:uiPriority w:val="99"/>
    <w:semiHidden/>
    <w:unhideWhenUsed/>
    <w:rsid w:val="007B3A9E"/>
    <w:rPr>
      <w:color w:val="605E5C"/>
      <w:shd w:val="clear" w:color="auto" w:fill="E1DFDD"/>
    </w:rPr>
  </w:style>
  <w:style w:type="character" w:styleId="FollowedHyperlink">
    <w:name w:val="FollowedHyperlink"/>
    <w:basedOn w:val="DefaultParagraphFont"/>
    <w:uiPriority w:val="99"/>
    <w:semiHidden/>
    <w:unhideWhenUsed/>
    <w:rsid w:val="009D2561"/>
    <w:rPr>
      <w:color w:val="96607D" w:themeColor="followedHyperlink"/>
      <w:u w:val="single"/>
    </w:rPr>
  </w:style>
  <w:style w:type="character" w:styleId="CommentReference">
    <w:name w:val="annotation reference"/>
    <w:basedOn w:val="DefaultParagraphFont"/>
    <w:uiPriority w:val="99"/>
    <w:semiHidden/>
    <w:unhideWhenUsed/>
    <w:rsid w:val="009C55F8"/>
    <w:rPr>
      <w:sz w:val="16"/>
      <w:szCs w:val="16"/>
    </w:rPr>
  </w:style>
  <w:style w:type="paragraph" w:styleId="CommentText">
    <w:name w:val="annotation text"/>
    <w:basedOn w:val="Normal"/>
    <w:link w:val="CommentTextChar"/>
    <w:uiPriority w:val="99"/>
    <w:unhideWhenUsed/>
    <w:rsid w:val="009C55F8"/>
    <w:pPr>
      <w:spacing w:line="240" w:lineRule="auto"/>
    </w:pPr>
    <w:rPr>
      <w:sz w:val="20"/>
      <w:szCs w:val="20"/>
    </w:rPr>
  </w:style>
  <w:style w:type="character" w:customStyle="1" w:styleId="CommentTextChar">
    <w:name w:val="Comment Text Char"/>
    <w:basedOn w:val="DefaultParagraphFont"/>
    <w:link w:val="CommentText"/>
    <w:uiPriority w:val="99"/>
    <w:rsid w:val="009C55F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C55F8"/>
    <w:rPr>
      <w:b/>
      <w:bCs/>
    </w:rPr>
  </w:style>
  <w:style w:type="character" w:customStyle="1" w:styleId="CommentSubjectChar">
    <w:name w:val="Comment Subject Char"/>
    <w:basedOn w:val="CommentTextChar"/>
    <w:link w:val="CommentSubject"/>
    <w:uiPriority w:val="99"/>
    <w:semiHidden/>
    <w:rsid w:val="009C55F8"/>
    <w:rPr>
      <w:b/>
      <w:bCs/>
      <w:kern w:val="0"/>
      <w:sz w:val="20"/>
      <w:szCs w:val="20"/>
      <w14:ligatures w14:val="none"/>
    </w:rPr>
  </w:style>
  <w:style w:type="table" w:styleId="TableGrid">
    <w:name w:val="Table Grid"/>
    <w:basedOn w:val="TableNormal"/>
    <w:uiPriority w:val="39"/>
    <w:rsid w:val="00DD0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75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3679">
      <w:bodyDiv w:val="1"/>
      <w:marLeft w:val="0"/>
      <w:marRight w:val="0"/>
      <w:marTop w:val="0"/>
      <w:marBottom w:val="0"/>
      <w:divBdr>
        <w:top w:val="none" w:sz="0" w:space="0" w:color="auto"/>
        <w:left w:val="none" w:sz="0" w:space="0" w:color="auto"/>
        <w:bottom w:val="none" w:sz="0" w:space="0" w:color="auto"/>
        <w:right w:val="none" w:sz="0" w:space="0" w:color="auto"/>
      </w:divBdr>
    </w:div>
    <w:div w:id="75633175">
      <w:bodyDiv w:val="1"/>
      <w:marLeft w:val="0"/>
      <w:marRight w:val="0"/>
      <w:marTop w:val="0"/>
      <w:marBottom w:val="0"/>
      <w:divBdr>
        <w:top w:val="none" w:sz="0" w:space="0" w:color="auto"/>
        <w:left w:val="none" w:sz="0" w:space="0" w:color="auto"/>
        <w:bottom w:val="none" w:sz="0" w:space="0" w:color="auto"/>
        <w:right w:val="none" w:sz="0" w:space="0" w:color="auto"/>
      </w:divBdr>
    </w:div>
    <w:div w:id="81876729">
      <w:bodyDiv w:val="1"/>
      <w:marLeft w:val="0"/>
      <w:marRight w:val="0"/>
      <w:marTop w:val="0"/>
      <w:marBottom w:val="0"/>
      <w:divBdr>
        <w:top w:val="none" w:sz="0" w:space="0" w:color="auto"/>
        <w:left w:val="none" w:sz="0" w:space="0" w:color="auto"/>
        <w:bottom w:val="none" w:sz="0" w:space="0" w:color="auto"/>
        <w:right w:val="none" w:sz="0" w:space="0" w:color="auto"/>
      </w:divBdr>
    </w:div>
    <w:div w:id="247079172">
      <w:bodyDiv w:val="1"/>
      <w:marLeft w:val="0"/>
      <w:marRight w:val="0"/>
      <w:marTop w:val="0"/>
      <w:marBottom w:val="0"/>
      <w:divBdr>
        <w:top w:val="none" w:sz="0" w:space="0" w:color="auto"/>
        <w:left w:val="none" w:sz="0" w:space="0" w:color="auto"/>
        <w:bottom w:val="none" w:sz="0" w:space="0" w:color="auto"/>
        <w:right w:val="none" w:sz="0" w:space="0" w:color="auto"/>
      </w:divBdr>
    </w:div>
    <w:div w:id="290863962">
      <w:bodyDiv w:val="1"/>
      <w:marLeft w:val="0"/>
      <w:marRight w:val="0"/>
      <w:marTop w:val="0"/>
      <w:marBottom w:val="0"/>
      <w:divBdr>
        <w:top w:val="none" w:sz="0" w:space="0" w:color="auto"/>
        <w:left w:val="none" w:sz="0" w:space="0" w:color="auto"/>
        <w:bottom w:val="none" w:sz="0" w:space="0" w:color="auto"/>
        <w:right w:val="none" w:sz="0" w:space="0" w:color="auto"/>
      </w:divBdr>
    </w:div>
    <w:div w:id="310064432">
      <w:bodyDiv w:val="1"/>
      <w:marLeft w:val="0"/>
      <w:marRight w:val="0"/>
      <w:marTop w:val="0"/>
      <w:marBottom w:val="0"/>
      <w:divBdr>
        <w:top w:val="none" w:sz="0" w:space="0" w:color="auto"/>
        <w:left w:val="none" w:sz="0" w:space="0" w:color="auto"/>
        <w:bottom w:val="none" w:sz="0" w:space="0" w:color="auto"/>
        <w:right w:val="none" w:sz="0" w:space="0" w:color="auto"/>
      </w:divBdr>
    </w:div>
    <w:div w:id="471216619">
      <w:bodyDiv w:val="1"/>
      <w:marLeft w:val="0"/>
      <w:marRight w:val="0"/>
      <w:marTop w:val="0"/>
      <w:marBottom w:val="0"/>
      <w:divBdr>
        <w:top w:val="none" w:sz="0" w:space="0" w:color="auto"/>
        <w:left w:val="none" w:sz="0" w:space="0" w:color="auto"/>
        <w:bottom w:val="none" w:sz="0" w:space="0" w:color="auto"/>
        <w:right w:val="none" w:sz="0" w:space="0" w:color="auto"/>
      </w:divBdr>
    </w:div>
    <w:div w:id="505025250">
      <w:bodyDiv w:val="1"/>
      <w:marLeft w:val="0"/>
      <w:marRight w:val="0"/>
      <w:marTop w:val="0"/>
      <w:marBottom w:val="0"/>
      <w:divBdr>
        <w:top w:val="none" w:sz="0" w:space="0" w:color="auto"/>
        <w:left w:val="none" w:sz="0" w:space="0" w:color="auto"/>
        <w:bottom w:val="none" w:sz="0" w:space="0" w:color="auto"/>
        <w:right w:val="none" w:sz="0" w:space="0" w:color="auto"/>
      </w:divBdr>
    </w:div>
    <w:div w:id="562909321">
      <w:bodyDiv w:val="1"/>
      <w:marLeft w:val="0"/>
      <w:marRight w:val="0"/>
      <w:marTop w:val="0"/>
      <w:marBottom w:val="0"/>
      <w:divBdr>
        <w:top w:val="none" w:sz="0" w:space="0" w:color="auto"/>
        <w:left w:val="none" w:sz="0" w:space="0" w:color="auto"/>
        <w:bottom w:val="none" w:sz="0" w:space="0" w:color="auto"/>
        <w:right w:val="none" w:sz="0" w:space="0" w:color="auto"/>
      </w:divBdr>
    </w:div>
    <w:div w:id="604196379">
      <w:bodyDiv w:val="1"/>
      <w:marLeft w:val="0"/>
      <w:marRight w:val="0"/>
      <w:marTop w:val="0"/>
      <w:marBottom w:val="0"/>
      <w:divBdr>
        <w:top w:val="none" w:sz="0" w:space="0" w:color="auto"/>
        <w:left w:val="none" w:sz="0" w:space="0" w:color="auto"/>
        <w:bottom w:val="none" w:sz="0" w:space="0" w:color="auto"/>
        <w:right w:val="none" w:sz="0" w:space="0" w:color="auto"/>
      </w:divBdr>
    </w:div>
    <w:div w:id="657029695">
      <w:bodyDiv w:val="1"/>
      <w:marLeft w:val="0"/>
      <w:marRight w:val="0"/>
      <w:marTop w:val="0"/>
      <w:marBottom w:val="0"/>
      <w:divBdr>
        <w:top w:val="none" w:sz="0" w:space="0" w:color="auto"/>
        <w:left w:val="none" w:sz="0" w:space="0" w:color="auto"/>
        <w:bottom w:val="none" w:sz="0" w:space="0" w:color="auto"/>
        <w:right w:val="none" w:sz="0" w:space="0" w:color="auto"/>
      </w:divBdr>
    </w:div>
    <w:div w:id="786972451">
      <w:bodyDiv w:val="1"/>
      <w:marLeft w:val="0"/>
      <w:marRight w:val="0"/>
      <w:marTop w:val="0"/>
      <w:marBottom w:val="0"/>
      <w:divBdr>
        <w:top w:val="none" w:sz="0" w:space="0" w:color="auto"/>
        <w:left w:val="none" w:sz="0" w:space="0" w:color="auto"/>
        <w:bottom w:val="none" w:sz="0" w:space="0" w:color="auto"/>
        <w:right w:val="none" w:sz="0" w:space="0" w:color="auto"/>
      </w:divBdr>
    </w:div>
    <w:div w:id="825170646">
      <w:bodyDiv w:val="1"/>
      <w:marLeft w:val="0"/>
      <w:marRight w:val="0"/>
      <w:marTop w:val="0"/>
      <w:marBottom w:val="0"/>
      <w:divBdr>
        <w:top w:val="none" w:sz="0" w:space="0" w:color="auto"/>
        <w:left w:val="none" w:sz="0" w:space="0" w:color="auto"/>
        <w:bottom w:val="none" w:sz="0" w:space="0" w:color="auto"/>
        <w:right w:val="none" w:sz="0" w:space="0" w:color="auto"/>
      </w:divBdr>
    </w:div>
    <w:div w:id="867261733">
      <w:bodyDiv w:val="1"/>
      <w:marLeft w:val="0"/>
      <w:marRight w:val="0"/>
      <w:marTop w:val="0"/>
      <w:marBottom w:val="0"/>
      <w:divBdr>
        <w:top w:val="none" w:sz="0" w:space="0" w:color="auto"/>
        <w:left w:val="none" w:sz="0" w:space="0" w:color="auto"/>
        <w:bottom w:val="none" w:sz="0" w:space="0" w:color="auto"/>
        <w:right w:val="none" w:sz="0" w:space="0" w:color="auto"/>
      </w:divBdr>
    </w:div>
    <w:div w:id="901675112">
      <w:bodyDiv w:val="1"/>
      <w:marLeft w:val="0"/>
      <w:marRight w:val="0"/>
      <w:marTop w:val="0"/>
      <w:marBottom w:val="0"/>
      <w:divBdr>
        <w:top w:val="none" w:sz="0" w:space="0" w:color="auto"/>
        <w:left w:val="none" w:sz="0" w:space="0" w:color="auto"/>
        <w:bottom w:val="none" w:sz="0" w:space="0" w:color="auto"/>
        <w:right w:val="none" w:sz="0" w:space="0" w:color="auto"/>
      </w:divBdr>
    </w:div>
    <w:div w:id="995455014">
      <w:bodyDiv w:val="1"/>
      <w:marLeft w:val="0"/>
      <w:marRight w:val="0"/>
      <w:marTop w:val="0"/>
      <w:marBottom w:val="0"/>
      <w:divBdr>
        <w:top w:val="none" w:sz="0" w:space="0" w:color="auto"/>
        <w:left w:val="none" w:sz="0" w:space="0" w:color="auto"/>
        <w:bottom w:val="none" w:sz="0" w:space="0" w:color="auto"/>
        <w:right w:val="none" w:sz="0" w:space="0" w:color="auto"/>
      </w:divBdr>
    </w:div>
    <w:div w:id="1022852650">
      <w:bodyDiv w:val="1"/>
      <w:marLeft w:val="0"/>
      <w:marRight w:val="0"/>
      <w:marTop w:val="0"/>
      <w:marBottom w:val="0"/>
      <w:divBdr>
        <w:top w:val="none" w:sz="0" w:space="0" w:color="auto"/>
        <w:left w:val="none" w:sz="0" w:space="0" w:color="auto"/>
        <w:bottom w:val="none" w:sz="0" w:space="0" w:color="auto"/>
        <w:right w:val="none" w:sz="0" w:space="0" w:color="auto"/>
      </w:divBdr>
    </w:div>
    <w:div w:id="1130246396">
      <w:bodyDiv w:val="1"/>
      <w:marLeft w:val="0"/>
      <w:marRight w:val="0"/>
      <w:marTop w:val="0"/>
      <w:marBottom w:val="0"/>
      <w:divBdr>
        <w:top w:val="none" w:sz="0" w:space="0" w:color="auto"/>
        <w:left w:val="none" w:sz="0" w:space="0" w:color="auto"/>
        <w:bottom w:val="none" w:sz="0" w:space="0" w:color="auto"/>
        <w:right w:val="none" w:sz="0" w:space="0" w:color="auto"/>
      </w:divBdr>
    </w:div>
    <w:div w:id="1162087782">
      <w:bodyDiv w:val="1"/>
      <w:marLeft w:val="0"/>
      <w:marRight w:val="0"/>
      <w:marTop w:val="0"/>
      <w:marBottom w:val="0"/>
      <w:divBdr>
        <w:top w:val="none" w:sz="0" w:space="0" w:color="auto"/>
        <w:left w:val="none" w:sz="0" w:space="0" w:color="auto"/>
        <w:bottom w:val="none" w:sz="0" w:space="0" w:color="auto"/>
        <w:right w:val="none" w:sz="0" w:space="0" w:color="auto"/>
      </w:divBdr>
    </w:div>
    <w:div w:id="1195390661">
      <w:bodyDiv w:val="1"/>
      <w:marLeft w:val="0"/>
      <w:marRight w:val="0"/>
      <w:marTop w:val="0"/>
      <w:marBottom w:val="0"/>
      <w:divBdr>
        <w:top w:val="none" w:sz="0" w:space="0" w:color="auto"/>
        <w:left w:val="none" w:sz="0" w:space="0" w:color="auto"/>
        <w:bottom w:val="none" w:sz="0" w:space="0" w:color="auto"/>
        <w:right w:val="none" w:sz="0" w:space="0" w:color="auto"/>
      </w:divBdr>
    </w:div>
    <w:div w:id="1224949645">
      <w:bodyDiv w:val="1"/>
      <w:marLeft w:val="0"/>
      <w:marRight w:val="0"/>
      <w:marTop w:val="0"/>
      <w:marBottom w:val="0"/>
      <w:divBdr>
        <w:top w:val="none" w:sz="0" w:space="0" w:color="auto"/>
        <w:left w:val="none" w:sz="0" w:space="0" w:color="auto"/>
        <w:bottom w:val="none" w:sz="0" w:space="0" w:color="auto"/>
        <w:right w:val="none" w:sz="0" w:space="0" w:color="auto"/>
      </w:divBdr>
    </w:div>
    <w:div w:id="1271085141">
      <w:bodyDiv w:val="1"/>
      <w:marLeft w:val="0"/>
      <w:marRight w:val="0"/>
      <w:marTop w:val="0"/>
      <w:marBottom w:val="0"/>
      <w:divBdr>
        <w:top w:val="none" w:sz="0" w:space="0" w:color="auto"/>
        <w:left w:val="none" w:sz="0" w:space="0" w:color="auto"/>
        <w:bottom w:val="none" w:sz="0" w:space="0" w:color="auto"/>
        <w:right w:val="none" w:sz="0" w:space="0" w:color="auto"/>
      </w:divBdr>
    </w:div>
    <w:div w:id="1337726794">
      <w:bodyDiv w:val="1"/>
      <w:marLeft w:val="0"/>
      <w:marRight w:val="0"/>
      <w:marTop w:val="0"/>
      <w:marBottom w:val="0"/>
      <w:divBdr>
        <w:top w:val="none" w:sz="0" w:space="0" w:color="auto"/>
        <w:left w:val="none" w:sz="0" w:space="0" w:color="auto"/>
        <w:bottom w:val="none" w:sz="0" w:space="0" w:color="auto"/>
        <w:right w:val="none" w:sz="0" w:space="0" w:color="auto"/>
      </w:divBdr>
    </w:div>
    <w:div w:id="1419447768">
      <w:bodyDiv w:val="1"/>
      <w:marLeft w:val="0"/>
      <w:marRight w:val="0"/>
      <w:marTop w:val="0"/>
      <w:marBottom w:val="0"/>
      <w:divBdr>
        <w:top w:val="none" w:sz="0" w:space="0" w:color="auto"/>
        <w:left w:val="none" w:sz="0" w:space="0" w:color="auto"/>
        <w:bottom w:val="none" w:sz="0" w:space="0" w:color="auto"/>
        <w:right w:val="none" w:sz="0" w:space="0" w:color="auto"/>
      </w:divBdr>
    </w:div>
    <w:div w:id="1447774371">
      <w:bodyDiv w:val="1"/>
      <w:marLeft w:val="0"/>
      <w:marRight w:val="0"/>
      <w:marTop w:val="0"/>
      <w:marBottom w:val="0"/>
      <w:divBdr>
        <w:top w:val="none" w:sz="0" w:space="0" w:color="auto"/>
        <w:left w:val="none" w:sz="0" w:space="0" w:color="auto"/>
        <w:bottom w:val="none" w:sz="0" w:space="0" w:color="auto"/>
        <w:right w:val="none" w:sz="0" w:space="0" w:color="auto"/>
      </w:divBdr>
    </w:div>
    <w:div w:id="1521160944">
      <w:bodyDiv w:val="1"/>
      <w:marLeft w:val="0"/>
      <w:marRight w:val="0"/>
      <w:marTop w:val="0"/>
      <w:marBottom w:val="0"/>
      <w:divBdr>
        <w:top w:val="none" w:sz="0" w:space="0" w:color="auto"/>
        <w:left w:val="none" w:sz="0" w:space="0" w:color="auto"/>
        <w:bottom w:val="none" w:sz="0" w:space="0" w:color="auto"/>
        <w:right w:val="none" w:sz="0" w:space="0" w:color="auto"/>
      </w:divBdr>
    </w:div>
    <w:div w:id="1538352238">
      <w:bodyDiv w:val="1"/>
      <w:marLeft w:val="0"/>
      <w:marRight w:val="0"/>
      <w:marTop w:val="0"/>
      <w:marBottom w:val="0"/>
      <w:divBdr>
        <w:top w:val="none" w:sz="0" w:space="0" w:color="auto"/>
        <w:left w:val="none" w:sz="0" w:space="0" w:color="auto"/>
        <w:bottom w:val="none" w:sz="0" w:space="0" w:color="auto"/>
        <w:right w:val="none" w:sz="0" w:space="0" w:color="auto"/>
      </w:divBdr>
    </w:div>
    <w:div w:id="1590969114">
      <w:bodyDiv w:val="1"/>
      <w:marLeft w:val="0"/>
      <w:marRight w:val="0"/>
      <w:marTop w:val="0"/>
      <w:marBottom w:val="0"/>
      <w:divBdr>
        <w:top w:val="none" w:sz="0" w:space="0" w:color="auto"/>
        <w:left w:val="none" w:sz="0" w:space="0" w:color="auto"/>
        <w:bottom w:val="none" w:sz="0" w:space="0" w:color="auto"/>
        <w:right w:val="none" w:sz="0" w:space="0" w:color="auto"/>
      </w:divBdr>
    </w:div>
    <w:div w:id="1592276285">
      <w:bodyDiv w:val="1"/>
      <w:marLeft w:val="0"/>
      <w:marRight w:val="0"/>
      <w:marTop w:val="0"/>
      <w:marBottom w:val="0"/>
      <w:divBdr>
        <w:top w:val="none" w:sz="0" w:space="0" w:color="auto"/>
        <w:left w:val="none" w:sz="0" w:space="0" w:color="auto"/>
        <w:bottom w:val="none" w:sz="0" w:space="0" w:color="auto"/>
        <w:right w:val="none" w:sz="0" w:space="0" w:color="auto"/>
      </w:divBdr>
    </w:div>
    <w:div w:id="1593473129">
      <w:bodyDiv w:val="1"/>
      <w:marLeft w:val="0"/>
      <w:marRight w:val="0"/>
      <w:marTop w:val="0"/>
      <w:marBottom w:val="0"/>
      <w:divBdr>
        <w:top w:val="none" w:sz="0" w:space="0" w:color="auto"/>
        <w:left w:val="none" w:sz="0" w:space="0" w:color="auto"/>
        <w:bottom w:val="none" w:sz="0" w:space="0" w:color="auto"/>
        <w:right w:val="none" w:sz="0" w:space="0" w:color="auto"/>
      </w:divBdr>
    </w:div>
    <w:div w:id="1617757299">
      <w:bodyDiv w:val="1"/>
      <w:marLeft w:val="0"/>
      <w:marRight w:val="0"/>
      <w:marTop w:val="0"/>
      <w:marBottom w:val="0"/>
      <w:divBdr>
        <w:top w:val="none" w:sz="0" w:space="0" w:color="auto"/>
        <w:left w:val="none" w:sz="0" w:space="0" w:color="auto"/>
        <w:bottom w:val="none" w:sz="0" w:space="0" w:color="auto"/>
        <w:right w:val="none" w:sz="0" w:space="0" w:color="auto"/>
      </w:divBdr>
    </w:div>
    <w:div w:id="1627392957">
      <w:bodyDiv w:val="1"/>
      <w:marLeft w:val="0"/>
      <w:marRight w:val="0"/>
      <w:marTop w:val="0"/>
      <w:marBottom w:val="0"/>
      <w:divBdr>
        <w:top w:val="none" w:sz="0" w:space="0" w:color="auto"/>
        <w:left w:val="none" w:sz="0" w:space="0" w:color="auto"/>
        <w:bottom w:val="none" w:sz="0" w:space="0" w:color="auto"/>
        <w:right w:val="none" w:sz="0" w:space="0" w:color="auto"/>
      </w:divBdr>
    </w:div>
    <w:div w:id="1685672864">
      <w:bodyDiv w:val="1"/>
      <w:marLeft w:val="0"/>
      <w:marRight w:val="0"/>
      <w:marTop w:val="0"/>
      <w:marBottom w:val="0"/>
      <w:divBdr>
        <w:top w:val="none" w:sz="0" w:space="0" w:color="auto"/>
        <w:left w:val="none" w:sz="0" w:space="0" w:color="auto"/>
        <w:bottom w:val="none" w:sz="0" w:space="0" w:color="auto"/>
        <w:right w:val="none" w:sz="0" w:space="0" w:color="auto"/>
      </w:divBdr>
    </w:div>
    <w:div w:id="1765875170">
      <w:bodyDiv w:val="1"/>
      <w:marLeft w:val="0"/>
      <w:marRight w:val="0"/>
      <w:marTop w:val="0"/>
      <w:marBottom w:val="0"/>
      <w:divBdr>
        <w:top w:val="none" w:sz="0" w:space="0" w:color="auto"/>
        <w:left w:val="none" w:sz="0" w:space="0" w:color="auto"/>
        <w:bottom w:val="none" w:sz="0" w:space="0" w:color="auto"/>
        <w:right w:val="none" w:sz="0" w:space="0" w:color="auto"/>
      </w:divBdr>
    </w:div>
    <w:div w:id="1798061759">
      <w:bodyDiv w:val="1"/>
      <w:marLeft w:val="0"/>
      <w:marRight w:val="0"/>
      <w:marTop w:val="0"/>
      <w:marBottom w:val="0"/>
      <w:divBdr>
        <w:top w:val="none" w:sz="0" w:space="0" w:color="auto"/>
        <w:left w:val="none" w:sz="0" w:space="0" w:color="auto"/>
        <w:bottom w:val="none" w:sz="0" w:space="0" w:color="auto"/>
        <w:right w:val="none" w:sz="0" w:space="0" w:color="auto"/>
      </w:divBdr>
    </w:div>
    <w:div w:id="1839465766">
      <w:bodyDiv w:val="1"/>
      <w:marLeft w:val="0"/>
      <w:marRight w:val="0"/>
      <w:marTop w:val="0"/>
      <w:marBottom w:val="0"/>
      <w:divBdr>
        <w:top w:val="none" w:sz="0" w:space="0" w:color="auto"/>
        <w:left w:val="none" w:sz="0" w:space="0" w:color="auto"/>
        <w:bottom w:val="none" w:sz="0" w:space="0" w:color="auto"/>
        <w:right w:val="none" w:sz="0" w:space="0" w:color="auto"/>
      </w:divBdr>
    </w:div>
    <w:div w:id="1868249674">
      <w:bodyDiv w:val="1"/>
      <w:marLeft w:val="0"/>
      <w:marRight w:val="0"/>
      <w:marTop w:val="0"/>
      <w:marBottom w:val="0"/>
      <w:divBdr>
        <w:top w:val="none" w:sz="0" w:space="0" w:color="auto"/>
        <w:left w:val="none" w:sz="0" w:space="0" w:color="auto"/>
        <w:bottom w:val="none" w:sz="0" w:space="0" w:color="auto"/>
        <w:right w:val="none" w:sz="0" w:space="0" w:color="auto"/>
      </w:divBdr>
    </w:div>
    <w:div w:id="1916890371">
      <w:bodyDiv w:val="1"/>
      <w:marLeft w:val="0"/>
      <w:marRight w:val="0"/>
      <w:marTop w:val="0"/>
      <w:marBottom w:val="0"/>
      <w:divBdr>
        <w:top w:val="none" w:sz="0" w:space="0" w:color="auto"/>
        <w:left w:val="none" w:sz="0" w:space="0" w:color="auto"/>
        <w:bottom w:val="none" w:sz="0" w:space="0" w:color="auto"/>
        <w:right w:val="none" w:sz="0" w:space="0" w:color="auto"/>
      </w:divBdr>
    </w:div>
    <w:div w:id="1986927928">
      <w:bodyDiv w:val="1"/>
      <w:marLeft w:val="0"/>
      <w:marRight w:val="0"/>
      <w:marTop w:val="0"/>
      <w:marBottom w:val="0"/>
      <w:divBdr>
        <w:top w:val="none" w:sz="0" w:space="0" w:color="auto"/>
        <w:left w:val="none" w:sz="0" w:space="0" w:color="auto"/>
        <w:bottom w:val="none" w:sz="0" w:space="0" w:color="auto"/>
        <w:right w:val="none" w:sz="0" w:space="0" w:color="auto"/>
      </w:divBdr>
    </w:div>
    <w:div w:id="1990591876">
      <w:bodyDiv w:val="1"/>
      <w:marLeft w:val="0"/>
      <w:marRight w:val="0"/>
      <w:marTop w:val="0"/>
      <w:marBottom w:val="0"/>
      <w:divBdr>
        <w:top w:val="none" w:sz="0" w:space="0" w:color="auto"/>
        <w:left w:val="none" w:sz="0" w:space="0" w:color="auto"/>
        <w:bottom w:val="none" w:sz="0" w:space="0" w:color="auto"/>
        <w:right w:val="none" w:sz="0" w:space="0" w:color="auto"/>
      </w:divBdr>
    </w:div>
    <w:div w:id="2014333585">
      <w:bodyDiv w:val="1"/>
      <w:marLeft w:val="0"/>
      <w:marRight w:val="0"/>
      <w:marTop w:val="0"/>
      <w:marBottom w:val="0"/>
      <w:divBdr>
        <w:top w:val="none" w:sz="0" w:space="0" w:color="auto"/>
        <w:left w:val="none" w:sz="0" w:space="0" w:color="auto"/>
        <w:bottom w:val="none" w:sz="0" w:space="0" w:color="auto"/>
        <w:right w:val="none" w:sz="0" w:space="0" w:color="auto"/>
      </w:divBdr>
    </w:div>
    <w:div w:id="20784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doi.org/10.1016/j.jeconom.2020.12.001" TargetMode="External"/><Relationship Id="rId26" Type="http://schemas.openxmlformats.org/officeDocument/2006/relationships/hyperlink" Target="https://doi.org/10.7326/M16-1590" TargetMode="External"/><Relationship Id="rId39" Type="http://schemas.openxmlformats.org/officeDocument/2006/relationships/theme" Target="theme/theme1.xml"/><Relationship Id="rId21" Type="http://schemas.openxmlformats.org/officeDocument/2006/relationships/hyperlink" Target="https://www.everytown.org/solutions/background-checks/" TargetMode="External"/><Relationship Id="rId34" Type="http://schemas.openxmlformats.org/officeDocument/2006/relationships/hyperlink" Target="https://www.atf.gov/news/press-releases/doj-atf-repeal-ffl-inspection-policy-and-begin-review-two-final-rules"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doi.org/10.2105/AJPH.2020.305822" TargetMode="External"/><Relationship Id="rId33" Type="http://schemas.openxmlformats.org/officeDocument/2006/relationships/hyperlink" Target="https://www.shotgunworld.com/threads/final-rule-atf-engaged-in-business.57019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doi.org/10.1162/REST_a_00120" TargetMode="External"/><Relationship Id="rId29" Type="http://schemas.openxmlformats.org/officeDocument/2006/relationships/hyperlink" Target="https://doi.org/10.1016/j.jeconom.2023.03.0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w.shotgunworld.com/threads/final-rule-atf-engaged-in-business.570192/" TargetMode="External"/><Relationship Id="rId32" Type="http://schemas.openxmlformats.org/officeDocument/2006/relationships/hyperlink" Target="https://www.rand.org/pubs/tools/TLA243-4.html" TargetMode="External"/><Relationship Id="rId37" Type="http://schemas.openxmlformats.org/officeDocument/2006/relationships/hyperlink" Target="https://doi.org/10.2105/AJPH.2010.191916"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reddit.com/r/progun/comments/1dap73r/comment/l7lv5sc/" TargetMode="External"/><Relationship Id="rId28" Type="http://schemas.openxmlformats.org/officeDocument/2006/relationships/hyperlink" Target="https://doi.org/10.1093/restud/rdad018" TargetMode="External"/><Relationship Id="rId36" Type="http://schemas.openxmlformats.org/officeDocument/2006/relationships/hyperlink" Target="https://www.nejm.org/doi/full/10.1056/NEJMp1006326" TargetMode="External"/><Relationship Id="rId10" Type="http://schemas.openxmlformats.org/officeDocument/2006/relationships/image" Target="media/image2.jpg"/><Relationship Id="rId19" Type="http://schemas.openxmlformats.org/officeDocument/2006/relationships/hyperlink" Target="https://doi.org/10.1257/jel.20141147" TargetMode="External"/><Relationship Id="rId31" Type="http://schemas.openxmlformats.org/officeDocument/2006/relationships/hyperlink" Target="https://10.1001/jamanetworkopen.2024.25025" TargetMode="Externa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6.jpg"/><Relationship Id="rId22" Type="http://schemas.openxmlformats.org/officeDocument/2006/relationships/hyperlink" Target="https://www.govinfo.gov/content/pkg/FR-2024-04-19/pdf/2024-07838.pdf" TargetMode="External"/><Relationship Id="rId27" Type="http://schemas.openxmlformats.org/officeDocument/2006/relationships/hyperlink" Target="https://www.journals.uchicago.edu/doi/abs/10.1086/449268" TargetMode="External"/><Relationship Id="rId30" Type="http://schemas.openxmlformats.org/officeDocument/2006/relationships/hyperlink" Target="https://www.reddit.com/r/law/comments/1c1gop8/comment/kz4a0r6/" TargetMode="External"/><Relationship Id="rId35" Type="http://schemas.openxmlformats.org/officeDocument/2006/relationships/hyperlink" Target="https://www.justice.gov/opa/pr/justice-department-publishes-new-rule-update-definition-engaged-business-firearms-dealer"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4143-D693-4FDB-A868-25E50DB1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31</Pages>
  <Words>7922</Words>
  <Characters>45161</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52978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David</dc:creator>
  <cp:keywords/>
  <dc:description/>
  <cp:lastModifiedBy>Kirk, David</cp:lastModifiedBy>
  <cp:revision>17</cp:revision>
  <cp:lastPrinted>2025-06-27T16:11:00Z</cp:lastPrinted>
  <dcterms:created xsi:type="dcterms:W3CDTF">2025-07-17T19:28:00Z</dcterms:created>
  <dcterms:modified xsi:type="dcterms:W3CDTF">2025-07-29T19:12:00Z</dcterms:modified>
</cp:coreProperties>
</file>