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1921E" w14:textId="3E147DBD" w:rsidR="008A5B82" w:rsidRDefault="00B804B3">
      <w:pPr>
        <w:pStyle w:val="Title"/>
      </w:pPr>
      <w:r>
        <w:t>Title</w:t>
      </w:r>
    </w:p>
    <w:p w14:paraId="443F78D7" w14:textId="3ACBAADC" w:rsidR="008A5B82" w:rsidRDefault="00B804B3">
      <w:pPr>
        <w:pStyle w:val="Subtitle"/>
      </w:pPr>
      <w:r>
        <w:t>Subtitle</w:t>
      </w:r>
    </w:p>
    <w:p w14:paraId="520BB854" w14:textId="76AE72CD" w:rsidR="008A5B82" w:rsidRDefault="00B804B3">
      <w:pPr>
        <w:pStyle w:val="Author"/>
      </w:pPr>
      <w:r>
        <w:t>Auth</w:t>
      </w:r>
      <w:r w:rsidR="000505AA">
        <w:t>o</w:t>
      </w:r>
      <w:r>
        <w:t>r</w:t>
      </w:r>
    </w:p>
    <w:p w14:paraId="26AB61C2" w14:textId="567513B9" w:rsidR="008A5B82" w:rsidRDefault="00B804B3" w:rsidP="00311029">
      <w:pPr>
        <w:pStyle w:val="Heading1"/>
      </w:pPr>
      <w:bookmarkStart w:id="0" w:name="introduction"/>
      <w:r>
        <w:t>Heading 1</w:t>
      </w:r>
    </w:p>
    <w:p w14:paraId="17D210E4" w14:textId="2C325DF5" w:rsidR="008A5B82" w:rsidRDefault="00B804B3">
      <w:pPr>
        <w:pStyle w:val="BlockText"/>
      </w:pPr>
      <w:r>
        <w:t xml:space="preserve">This is a block </w:t>
      </w:r>
      <w:proofErr w:type="gramStart"/>
      <w:r>
        <w:t>quote</w:t>
      </w:r>
      <w:proofErr w:type="gramEnd"/>
    </w:p>
    <w:p w14:paraId="70DEC441" w14:textId="0484700E" w:rsidR="008A5B82" w:rsidRDefault="00B804B3" w:rsidP="00311029">
      <w:r>
        <w:t xml:space="preserve">This is the first paragraph of a section. Lorem ipsum </w:t>
      </w:r>
      <w:proofErr w:type="spellStart"/>
      <w:r>
        <w:t>yo</w:t>
      </w:r>
      <w:proofErr w:type="spellEnd"/>
      <w:r>
        <w:t>.</w:t>
      </w:r>
    </w:p>
    <w:p w14:paraId="2D1BF21E" w14:textId="18E391E1" w:rsidR="008A5B82" w:rsidRDefault="00B804B3">
      <w:pPr>
        <w:pStyle w:val="BodyText"/>
      </w:pPr>
      <w:r>
        <w:t xml:space="preserve">This is body text while this is an in-line fig ref: </w:t>
      </w:r>
      <w:hyperlink w:anchor="fig-homicide-life-course">
        <w:r>
          <w:rPr>
            <w:rStyle w:val="Hyperlink"/>
          </w:rPr>
          <w:t>Figure 1</w:t>
        </w:r>
      </w:hyperlink>
      <w:r>
        <w:t xml:space="preserve">. 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576"/>
      </w:tblGrid>
      <w:tr w:rsidR="008A5B82" w14:paraId="235EE763" w14:textId="77777777">
        <w:tc>
          <w:tcPr>
            <w:tcW w:w="0" w:type="auto"/>
          </w:tcPr>
          <w:p w14:paraId="24243028" w14:textId="77777777" w:rsidR="008A5B82" w:rsidRDefault="00000000">
            <w:pPr>
              <w:jc w:val="center"/>
            </w:pPr>
            <w:bookmarkStart w:id="1" w:name="fig-homicide-life-course"/>
            <w:r>
              <w:rPr>
                <w:noProof/>
              </w:rPr>
              <w:drawing>
                <wp:inline distT="0" distB="0" distL="0" distR="0" wp14:anchorId="124BB5DB" wp14:editId="7D8C4C63">
                  <wp:extent cx="4587290" cy="2752374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fig/homicide_life_course_plo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83E68" w14:textId="68BF703F" w:rsidR="008A5B82" w:rsidRDefault="00000000">
            <w:pPr>
              <w:pStyle w:val="ImageCaption"/>
              <w:spacing w:before="200"/>
            </w:pPr>
            <w:r>
              <w:t xml:space="preserve">Figure 1: </w:t>
            </w:r>
            <w:r w:rsidR="00B804B3">
              <w:t>Look a caption!</w:t>
            </w:r>
          </w:p>
        </w:tc>
        <w:bookmarkEnd w:id="1"/>
      </w:tr>
    </w:tbl>
    <w:p w14:paraId="35ADF666" w14:textId="7915F3D6" w:rsidR="008A5B82" w:rsidRDefault="00B804B3" w:rsidP="000505AA">
      <w:pPr>
        <w:pStyle w:val="Heading4"/>
      </w:pPr>
      <w:bookmarkStart w:id="2" w:name="gun-carrying"/>
      <w:r>
        <w:t>Heading 2</w:t>
      </w:r>
    </w:p>
    <w:p w14:paraId="3F31837D" w14:textId="74BA72BE" w:rsidR="008A5B82" w:rsidRDefault="00B804B3" w:rsidP="00B804B3">
      <w:pPr>
        <w:pStyle w:val="FirstParagraph"/>
      </w:pPr>
      <w:bookmarkStart w:id="3" w:name="results"/>
      <w:bookmarkEnd w:id="0"/>
      <w:bookmarkEnd w:id="2"/>
      <w:r>
        <w:t>First para text again, but so I can add a footnote</w:t>
      </w:r>
      <w:bookmarkStart w:id="4" w:name="discussion"/>
      <w:bookmarkEnd w:id="3"/>
      <w:r w:rsidR="00A86E88">
        <w:rPr>
          <w:rStyle w:val="FootnoteReference"/>
        </w:rPr>
        <w:footnoteReference w:id="1"/>
      </w:r>
    </w:p>
    <w:p w14:paraId="7DE986F0" w14:textId="5204DBBD" w:rsidR="001542EC" w:rsidRDefault="001542EC">
      <w:pPr>
        <w:pStyle w:val="Bibliography"/>
      </w:pPr>
      <w:bookmarkStart w:id="5" w:name="ref-anderson-bergman2017"/>
      <w:bookmarkStart w:id="6" w:name="appendix"/>
      <w:bookmarkStart w:id="7" w:name="exposure-to-violence"/>
      <w:bookmarkStart w:id="8" w:name="refs"/>
      <w:bookmarkEnd w:id="4"/>
      <w:r>
        <w:t>Refs:</w:t>
      </w:r>
    </w:p>
    <w:p w14:paraId="2EBCBA5C" w14:textId="4E0A5847" w:rsidR="008A5B82" w:rsidRDefault="00000000">
      <w:pPr>
        <w:pStyle w:val="Bibliography"/>
      </w:pPr>
      <w:r>
        <w:t xml:space="preserve">Anderson-Bergman, C. (2017). </w:t>
      </w:r>
      <w:r>
        <w:rPr>
          <w:b/>
          <w:bCs/>
        </w:rPr>
        <w:t>icenReg</w:t>
      </w:r>
      <w:r>
        <w:t xml:space="preserve"> : Regression Models for Interval Censored Data in </w:t>
      </w:r>
      <w:r>
        <w:rPr>
          <w:i/>
          <w:iCs/>
        </w:rPr>
        <w:t>R</w:t>
      </w:r>
      <w:r>
        <w:t xml:space="preserve">. </w:t>
      </w:r>
      <w:r>
        <w:rPr>
          <w:i/>
          <w:iCs/>
        </w:rPr>
        <w:t>Journal of Statistical Software</w:t>
      </w:r>
      <w:r>
        <w:t xml:space="preserve">, </w:t>
      </w:r>
      <w:r>
        <w:rPr>
          <w:i/>
          <w:iCs/>
        </w:rPr>
        <w:t>81</w:t>
      </w:r>
      <w:r>
        <w:t xml:space="preserve">(12). </w:t>
      </w:r>
      <w:hyperlink r:id="rId9">
        <w:r>
          <w:rPr>
            <w:rStyle w:val="Hyperlink"/>
          </w:rPr>
          <w:t>https://doi.org/10.18637/jss.v081.i12</w:t>
        </w:r>
      </w:hyperlink>
    </w:p>
    <w:p w14:paraId="19462A66" w14:textId="77777777" w:rsidR="008A5B82" w:rsidRDefault="00000000">
      <w:pPr>
        <w:pStyle w:val="Bibliography"/>
      </w:pPr>
      <w:bookmarkStart w:id="9" w:name="ref-beardsleeGunNonGunRelated2018"/>
      <w:bookmarkEnd w:id="5"/>
      <w:r>
        <w:lastRenderedPageBreak/>
        <w:t xml:space="preserve">Beardslee, J., Mulvey, E., Schubert, C., Allison, P., Infante, A., &amp; Pardini, D. (2018). Gun- and Non-GunRelated Violence Exposure and Risk for Subsequent Gun Carrying Among Male Juvenile Offenders. </w:t>
      </w:r>
      <w:r>
        <w:rPr>
          <w:i/>
          <w:iCs/>
        </w:rPr>
        <w:t>Journal of the American Academy of Child &amp; Adolescent Psychiatry</w:t>
      </w:r>
      <w:r>
        <w:t xml:space="preserve">, </w:t>
      </w:r>
      <w:r>
        <w:rPr>
          <w:i/>
          <w:iCs/>
        </w:rPr>
        <w:t>57</w:t>
      </w:r>
      <w:r>
        <w:t xml:space="preserve">(4), 274–279. </w:t>
      </w:r>
      <w:hyperlink r:id="rId10">
        <w:r>
          <w:rPr>
            <w:rStyle w:val="Hyperlink"/>
          </w:rPr>
          <w:t>https://doi.org/10.1016/j.jaac.2018.01.012</w:t>
        </w:r>
      </w:hyperlink>
    </w:p>
    <w:p w14:paraId="33D54FC4" w14:textId="77777777" w:rsidR="008A5B82" w:rsidRDefault="00000000">
      <w:pPr>
        <w:pStyle w:val="Bibliography"/>
      </w:pPr>
      <w:bookmarkStart w:id="10" w:name="X90d88a31c597ac3d17f9643c07045d8d8023ff7"/>
      <w:bookmarkEnd w:id="9"/>
      <w:r>
        <w:t xml:space="preserve">Bingenheimer, J. B., Brennan, R. T., &amp; Earls, F. J. (2005). Firearm Violence Exposure and Serious Violent Behavior. </w:t>
      </w:r>
      <w:r>
        <w:rPr>
          <w:i/>
          <w:iCs/>
        </w:rPr>
        <w:t>Science</w:t>
      </w:r>
      <w:r>
        <w:t xml:space="preserve">, </w:t>
      </w:r>
      <w:r>
        <w:rPr>
          <w:i/>
          <w:iCs/>
        </w:rPr>
        <w:t>308</w:t>
      </w:r>
      <w:r>
        <w:t xml:space="preserve">(5726), 1323–1326. </w:t>
      </w:r>
      <w:hyperlink r:id="rId11">
        <w:r>
          <w:rPr>
            <w:rStyle w:val="Hyperlink"/>
          </w:rPr>
          <w:t>https://doi.org/10.1126/science.1110096</w:t>
        </w:r>
      </w:hyperlink>
    </w:p>
    <w:p w14:paraId="1961DB56" w14:textId="77777777" w:rsidR="008A5B82" w:rsidRDefault="00000000">
      <w:pPr>
        <w:pStyle w:val="Bibliography"/>
      </w:pPr>
      <w:bookmarkStart w:id="11" w:name="ref-blumstein1995"/>
      <w:bookmarkEnd w:id="10"/>
      <w:r>
        <w:t xml:space="preserve">Blumstein, A. (1995a). Youth violence, guns, and the illicit-drug industry. </w:t>
      </w:r>
      <w:r>
        <w:rPr>
          <w:i/>
          <w:iCs/>
        </w:rPr>
        <w:t>The Journal of Criminal Law and Criminology (1973-)</w:t>
      </w:r>
      <w:r>
        <w:t xml:space="preserve">, </w:t>
      </w:r>
      <w:r>
        <w:rPr>
          <w:i/>
          <w:iCs/>
        </w:rPr>
        <w:t>86</w:t>
      </w:r>
      <w:r>
        <w:t xml:space="preserve">(1), 10. </w:t>
      </w:r>
      <w:hyperlink r:id="rId12">
        <w:r>
          <w:rPr>
            <w:rStyle w:val="Hyperlink"/>
          </w:rPr>
          <w:t>https://doi.org/10.2307/1143998</w:t>
        </w:r>
      </w:hyperlink>
    </w:p>
    <w:p w14:paraId="5A283082" w14:textId="77777777" w:rsidR="008A5B82" w:rsidRDefault="00000000">
      <w:pPr>
        <w:pStyle w:val="Bibliography"/>
      </w:pPr>
      <w:bookmarkStart w:id="12" w:name="ref-blumsteinYouthViolenceGuns1995"/>
      <w:bookmarkEnd w:id="11"/>
      <w:r>
        <w:t xml:space="preserve">Blumstein, A. (1995b). Youth violence, guns, and the illicit-drug industry. </w:t>
      </w:r>
      <w:r>
        <w:rPr>
          <w:i/>
          <w:iCs/>
        </w:rPr>
        <w:t>The Journal of Criminal Law and Criminology (1973-)</w:t>
      </w:r>
      <w:r>
        <w:t xml:space="preserve">, </w:t>
      </w:r>
      <w:r>
        <w:rPr>
          <w:i/>
          <w:iCs/>
        </w:rPr>
        <w:t>86</w:t>
      </w:r>
      <w:r>
        <w:t xml:space="preserve">(1), 10. </w:t>
      </w:r>
      <w:hyperlink r:id="rId13">
        <w:r>
          <w:rPr>
            <w:rStyle w:val="Hyperlink"/>
          </w:rPr>
          <w:t>https://doi.org/10.2307/1143998</w:t>
        </w:r>
      </w:hyperlink>
    </w:p>
    <w:p w14:paraId="52D9C2E4" w14:textId="77777777" w:rsidR="008A5B82" w:rsidRDefault="00000000">
      <w:pPr>
        <w:pStyle w:val="Bibliography"/>
      </w:pPr>
      <w:bookmarkStart w:id="13" w:name="ref-braga2021"/>
      <w:bookmarkEnd w:id="12"/>
      <w:r>
        <w:t xml:space="preserve">Braga, A. A., Griffiths, E., Sheppard, K., &amp; Douglas, S. (2021). Firearm Instrumentality: Do Guns Make Violent Situations More Lethal? </w:t>
      </w:r>
      <w:r>
        <w:rPr>
          <w:i/>
          <w:iCs/>
        </w:rPr>
        <w:t>Annual Review of Criminology</w:t>
      </w:r>
      <w:r>
        <w:t xml:space="preserve">, </w:t>
      </w:r>
      <w:r>
        <w:rPr>
          <w:i/>
          <w:iCs/>
        </w:rPr>
        <w:t>4</w:t>
      </w:r>
      <w:r>
        <w:t xml:space="preserve">(1), 147–164. </w:t>
      </w:r>
      <w:hyperlink r:id="rId14">
        <w:r>
          <w:rPr>
            <w:rStyle w:val="Hyperlink"/>
          </w:rPr>
          <w:t>https://doi.org/10.1146/annurev-criminol-061020-021528</w:t>
        </w:r>
      </w:hyperlink>
    </w:p>
    <w:p w14:paraId="0716929A" w14:textId="77777777" w:rsidR="008A5B82" w:rsidRDefault="00000000">
      <w:pPr>
        <w:pStyle w:val="Bibliography"/>
      </w:pPr>
      <w:bookmarkStart w:id="14" w:name="ref-carlson2012"/>
      <w:bookmarkEnd w:id="13"/>
      <w:r>
        <w:t xml:space="preserve">Carlson, J. D. (2012). ’I Don’t Dial 911’: American Gun Politics and the Problem of Policing. </w:t>
      </w:r>
      <w:r>
        <w:rPr>
          <w:i/>
          <w:iCs/>
        </w:rPr>
        <w:t>British Journal of Criminology</w:t>
      </w:r>
      <w:r>
        <w:t xml:space="preserve">, </w:t>
      </w:r>
      <w:r>
        <w:rPr>
          <w:i/>
          <w:iCs/>
        </w:rPr>
        <w:t>52</w:t>
      </w:r>
      <w:r>
        <w:t xml:space="preserve">(6), 1113–1132. </w:t>
      </w:r>
      <w:hyperlink r:id="rId15">
        <w:r>
          <w:rPr>
            <w:rStyle w:val="Hyperlink"/>
          </w:rPr>
          <w:t>https://doi.org/10.1093/bjc/azs039</w:t>
        </w:r>
      </w:hyperlink>
    </w:p>
    <w:p w14:paraId="0802D565" w14:textId="77777777" w:rsidR="008A5B82" w:rsidRDefault="00000000">
      <w:pPr>
        <w:pStyle w:val="Bibliography"/>
      </w:pPr>
      <w:bookmarkStart w:id="15" w:name="ref-comer2023"/>
      <w:bookmarkEnd w:id="14"/>
      <w:r>
        <w:t xml:space="preserve">Comer, B. P., &amp; Connolly, E. J. (2023). Exposure to gun violence and handgun carrying from adolescence to adulthood. </w:t>
      </w:r>
      <w:r>
        <w:rPr>
          <w:i/>
          <w:iCs/>
        </w:rPr>
        <w:t>Social Science &amp; Medicine</w:t>
      </w:r>
      <w:r>
        <w:t xml:space="preserve">, </w:t>
      </w:r>
      <w:r>
        <w:rPr>
          <w:i/>
          <w:iCs/>
        </w:rPr>
        <w:t>328</w:t>
      </w:r>
      <w:r>
        <w:t xml:space="preserve">, 115984. </w:t>
      </w:r>
      <w:hyperlink r:id="rId16">
        <w:r>
          <w:rPr>
            <w:rStyle w:val="Hyperlink"/>
          </w:rPr>
          <w:t>https://doi.org/10.1016/j.socscimed.2023.115984</w:t>
        </w:r>
      </w:hyperlink>
    </w:p>
    <w:p w14:paraId="6FC1470D" w14:textId="77777777" w:rsidR="008A5B82" w:rsidRDefault="00000000">
      <w:pPr>
        <w:pStyle w:val="Bibliography"/>
      </w:pPr>
      <w:bookmarkStart w:id="16" w:name="ref-cookGunsAmericaNational1997"/>
      <w:bookmarkEnd w:id="15"/>
      <w:r>
        <w:t xml:space="preserve">Cook, P. J., &amp; Ludwig, J. (1997). </w:t>
      </w:r>
      <w:r>
        <w:rPr>
          <w:i/>
          <w:iCs/>
        </w:rPr>
        <w:t>Guns in america: National survey on private ownership and use of firearms</w:t>
      </w:r>
      <w:r>
        <w:t>.</w:t>
      </w:r>
    </w:p>
    <w:p w14:paraId="64CFA2E0" w14:textId="77777777" w:rsidR="008A5B82" w:rsidRDefault="00000000">
      <w:pPr>
        <w:pStyle w:val="Bibliography"/>
      </w:pPr>
      <w:bookmarkStart w:id="17" w:name="ref-cook2007"/>
      <w:bookmarkEnd w:id="16"/>
      <w:r>
        <w:t xml:space="preserve">Cook, P. J., Ludwig, J., Venkatesh, S., &amp; Braga, A. A. (2007). Underground gun markets. </w:t>
      </w:r>
      <w:r>
        <w:rPr>
          <w:i/>
          <w:iCs/>
        </w:rPr>
        <w:t>The Economic Journal</w:t>
      </w:r>
      <w:r>
        <w:t xml:space="preserve">, </w:t>
      </w:r>
      <w:r>
        <w:rPr>
          <w:i/>
          <w:iCs/>
        </w:rPr>
        <w:t>117</w:t>
      </w:r>
      <w:r>
        <w:t xml:space="preserve">(524), F588–F618. </w:t>
      </w:r>
      <w:hyperlink r:id="rId17">
        <w:r>
          <w:rPr>
            <w:rStyle w:val="Hyperlink"/>
          </w:rPr>
          <w:t>https://doi.org/10.1111/j.1468-0297.2007.02098.x</w:t>
        </w:r>
      </w:hyperlink>
    </w:p>
    <w:p w14:paraId="0CA84D9C" w14:textId="77777777" w:rsidR="008A5B82" w:rsidRDefault="00000000">
      <w:pPr>
        <w:pStyle w:val="Bibliography"/>
      </w:pPr>
      <w:bookmarkStart w:id="18" w:name="ref-cook2015"/>
      <w:bookmarkEnd w:id="17"/>
      <w:r>
        <w:t xml:space="preserve">Cook, P. J., Parker, S. T., &amp; Pollack, H. A. (2015). Sources of guns to dangerous people: What we learn by asking them. </w:t>
      </w:r>
      <w:r>
        <w:rPr>
          <w:i/>
          <w:iCs/>
        </w:rPr>
        <w:t>Preventive Medicine</w:t>
      </w:r>
      <w:r>
        <w:t xml:space="preserve">, </w:t>
      </w:r>
      <w:r>
        <w:rPr>
          <w:i/>
          <w:iCs/>
        </w:rPr>
        <w:t>79</w:t>
      </w:r>
      <w:r>
        <w:t xml:space="preserve">, 28–36. </w:t>
      </w:r>
      <w:hyperlink r:id="rId18">
        <w:r>
          <w:rPr>
            <w:rStyle w:val="Hyperlink"/>
          </w:rPr>
          <w:t>https://doi.org/10.1016/j.ypmed.2015.04.021</w:t>
        </w:r>
      </w:hyperlink>
    </w:p>
    <w:p w14:paraId="2FB6122B" w14:textId="77777777" w:rsidR="008A5B82" w:rsidRDefault="00000000">
      <w:pPr>
        <w:pStyle w:val="Bibliography"/>
      </w:pPr>
      <w:bookmarkStart w:id="19" w:name="ref-curryConfrontingGangsCrime1998a"/>
      <w:bookmarkEnd w:id="18"/>
      <w:r>
        <w:t xml:space="preserve">Curry, G. D., &amp; Decker, S. H. (1998). </w:t>
      </w:r>
      <w:r>
        <w:rPr>
          <w:i/>
          <w:iCs/>
        </w:rPr>
        <w:t>Confronting gangs: Crime and community</w:t>
      </w:r>
      <w:r>
        <w:t>. Roxbury Pub. Co.</w:t>
      </w:r>
    </w:p>
    <w:p w14:paraId="76E3D3CF" w14:textId="77777777" w:rsidR="008A5B82" w:rsidRDefault="00000000">
      <w:pPr>
        <w:pStyle w:val="Bibliography"/>
      </w:pPr>
      <w:bookmarkStart w:id="20" w:name="ref-hsu2007"/>
      <w:bookmarkEnd w:id="19"/>
      <w:r>
        <w:t xml:space="preserve">Hsu, C.-H., Taylor, J. M. G., Murray, S., &amp; Commenges, D. (2007). Multiple imputation for interval censored data with auxiliary variables. </w:t>
      </w:r>
      <w:r>
        <w:rPr>
          <w:i/>
          <w:iCs/>
        </w:rPr>
        <w:t>Statistics in Medicine</w:t>
      </w:r>
      <w:r>
        <w:t xml:space="preserve">, </w:t>
      </w:r>
      <w:r>
        <w:rPr>
          <w:i/>
          <w:iCs/>
        </w:rPr>
        <w:t>26</w:t>
      </w:r>
      <w:r>
        <w:t xml:space="preserve">(4), 769–781. </w:t>
      </w:r>
      <w:hyperlink r:id="rId19">
        <w:r>
          <w:rPr>
            <w:rStyle w:val="Hyperlink"/>
          </w:rPr>
          <w:t>https://doi.org/10.1002/sim.2581</w:t>
        </w:r>
      </w:hyperlink>
    </w:p>
    <w:p w14:paraId="1D41A463" w14:textId="77777777" w:rsidR="008A5B82" w:rsidRDefault="00000000">
      <w:pPr>
        <w:pStyle w:val="Bibliography"/>
      </w:pPr>
      <w:bookmarkStart w:id="21" w:name="ref-kaplan"/>
      <w:bookmarkEnd w:id="20"/>
      <w:r>
        <w:t xml:space="preserve">Kaplan, J. (2023). </w:t>
      </w:r>
      <w:r>
        <w:rPr>
          <w:i/>
          <w:iCs/>
        </w:rPr>
        <w:t>Jacob Kaplan’s Concatenated Files: Uniform Crime Reporting (UCR) Program Data: Supplementary Homicide Reports (SHR), 1976-2021</w:t>
      </w:r>
      <w:r>
        <w:t xml:space="preserve">. </w:t>
      </w:r>
      <w:hyperlink r:id="rId20">
        <w:r>
          <w:rPr>
            <w:rStyle w:val="Hyperlink"/>
          </w:rPr>
          <w:t>https://doi.org/10.3886/E100699V12</w:t>
        </w:r>
      </w:hyperlink>
    </w:p>
    <w:p w14:paraId="7A4C2AED" w14:textId="77777777" w:rsidR="008A5B82" w:rsidRDefault="00000000">
      <w:pPr>
        <w:pStyle w:val="Bibliography"/>
      </w:pPr>
      <w:bookmarkStart w:id="22" w:name="ref-kellermann1992"/>
      <w:bookmarkEnd w:id="21"/>
      <w:r>
        <w:t xml:space="preserve">Kellermann, A. L., Rivara, F. P., Somes, G., Reay, D. T., Francisco, J., Banton, J. G., Prodzinski, J., Fligner, C., &amp; Hackman, B. B. (1992). Suicide in the home in relation to gun ownership. </w:t>
      </w:r>
      <w:r>
        <w:rPr>
          <w:i/>
          <w:iCs/>
        </w:rPr>
        <w:t>New England Journal of Medicine</w:t>
      </w:r>
      <w:r>
        <w:t xml:space="preserve">, </w:t>
      </w:r>
      <w:r>
        <w:rPr>
          <w:i/>
          <w:iCs/>
        </w:rPr>
        <w:t>327</w:t>
      </w:r>
      <w:r>
        <w:t xml:space="preserve">(7), 467–472. </w:t>
      </w:r>
      <w:hyperlink r:id="rId21">
        <w:r>
          <w:rPr>
            <w:rStyle w:val="Hyperlink"/>
          </w:rPr>
          <w:t>https://doi.org/10.1056/NEJM199208133270705</w:t>
        </w:r>
      </w:hyperlink>
    </w:p>
    <w:p w14:paraId="5717B271" w14:textId="77777777" w:rsidR="008A5B82" w:rsidRDefault="00000000">
      <w:pPr>
        <w:pStyle w:val="Bibliography"/>
      </w:pPr>
      <w:bookmarkStart w:id="23" w:name="ref-kirk2011"/>
      <w:bookmarkEnd w:id="22"/>
      <w:r>
        <w:lastRenderedPageBreak/>
        <w:t xml:space="preserve">Kirk, D. S., &amp; Papachristos, A. V. (2011). Cultural Mechanisms and the Persistence of Neighborhood Violence. </w:t>
      </w:r>
      <w:r>
        <w:rPr>
          <w:i/>
          <w:iCs/>
        </w:rPr>
        <w:t>American Journal of Sociology</w:t>
      </w:r>
      <w:r>
        <w:t xml:space="preserve">, </w:t>
      </w:r>
      <w:r>
        <w:rPr>
          <w:i/>
          <w:iCs/>
        </w:rPr>
        <w:t>116</w:t>
      </w:r>
      <w:r>
        <w:t xml:space="preserve">(4), 1190–1233. </w:t>
      </w:r>
      <w:hyperlink r:id="rId22">
        <w:r>
          <w:rPr>
            <w:rStyle w:val="Hyperlink"/>
          </w:rPr>
          <w:t>https://doi.org/10.1086/655754</w:t>
        </w:r>
      </w:hyperlink>
    </w:p>
    <w:p w14:paraId="43258C11" w14:textId="77777777" w:rsidR="008A5B82" w:rsidRDefault="00000000">
      <w:pPr>
        <w:pStyle w:val="Bibliography"/>
      </w:pPr>
      <w:bookmarkStart w:id="24" w:name="ref-kosmidisMeanMedianBias2020"/>
      <w:bookmarkEnd w:id="23"/>
      <w:r>
        <w:t xml:space="preserve">Kosmidis, I., Kenne Pagui, E. C., &amp; Sartori, N. (2020). Mean and median bias reduction in generalized linear models. </w:t>
      </w:r>
      <w:r>
        <w:rPr>
          <w:i/>
          <w:iCs/>
        </w:rPr>
        <w:t>Statistics and Computing</w:t>
      </w:r>
      <w:r>
        <w:t xml:space="preserve">, </w:t>
      </w:r>
      <w:r>
        <w:rPr>
          <w:i/>
          <w:iCs/>
        </w:rPr>
        <w:t>30</w:t>
      </w:r>
      <w:r>
        <w:t xml:space="preserve">(1), 43–59. </w:t>
      </w:r>
      <w:hyperlink r:id="rId23">
        <w:r>
          <w:rPr>
            <w:rStyle w:val="Hyperlink"/>
          </w:rPr>
          <w:t>https://doi.org/10.1007/s11222-019-09860-6</w:t>
        </w:r>
      </w:hyperlink>
    </w:p>
    <w:p w14:paraId="127B3B0D" w14:textId="77777777" w:rsidR="008A5B82" w:rsidRDefault="00000000">
      <w:pPr>
        <w:pStyle w:val="Bibliography"/>
      </w:pPr>
      <w:bookmarkStart w:id="25" w:name="X5b4952fd9ee1ed88d729015e60257c0fe044276"/>
      <w:bookmarkEnd w:id="24"/>
      <w:r>
        <w:t xml:space="preserve">Kravitz-Wirtz, N., Aubel, A., Schleimer, J., Pallin, R., &amp; Wintemute, G. (2021). Public Concern About Violence, Firearms, and the COVID-19 Pandemic in California. </w:t>
      </w:r>
      <w:r>
        <w:rPr>
          <w:i/>
          <w:iCs/>
        </w:rPr>
        <w:t>JAMA Network Open</w:t>
      </w:r>
      <w:r>
        <w:t xml:space="preserve">, </w:t>
      </w:r>
      <w:r>
        <w:rPr>
          <w:i/>
          <w:iCs/>
        </w:rPr>
        <w:t>4</w:t>
      </w:r>
      <w:r>
        <w:t xml:space="preserve">(1), e2033484. </w:t>
      </w:r>
      <w:hyperlink r:id="rId24">
        <w:r>
          <w:rPr>
            <w:rStyle w:val="Hyperlink"/>
          </w:rPr>
          <w:t>https://doi.org/10.1001/jamanetworkopen.2020.33484</w:t>
        </w:r>
      </w:hyperlink>
    </w:p>
    <w:p w14:paraId="1C951128" w14:textId="77777777" w:rsidR="008A5B82" w:rsidRDefault="00000000">
      <w:pPr>
        <w:pStyle w:val="Bibliography"/>
      </w:pPr>
      <w:bookmarkStart w:id="26" w:name="X683884ba31ee934e32f7925e7dfa0cb675cd756"/>
      <w:bookmarkEnd w:id="25"/>
      <w:r>
        <w:t xml:space="preserve">Lanfear, C. C., Bucci, R., Kirk, D. S., &amp; Sampson, R. J. (2023). Inequalities in exposure to firearm violence by race, sex, and birth cohort from childhood to age 40 years, 1995-2021. </w:t>
      </w:r>
      <w:r>
        <w:rPr>
          <w:i/>
          <w:iCs/>
        </w:rPr>
        <w:t>JAMA Network Open</w:t>
      </w:r>
      <w:r>
        <w:t xml:space="preserve">, </w:t>
      </w:r>
      <w:r>
        <w:rPr>
          <w:i/>
          <w:iCs/>
        </w:rPr>
        <w:t>6</w:t>
      </w:r>
      <w:r>
        <w:t xml:space="preserve">(5), e2312465. </w:t>
      </w:r>
      <w:hyperlink r:id="rId25">
        <w:r>
          <w:rPr>
            <w:rStyle w:val="Hyperlink"/>
          </w:rPr>
          <w:t>https://doi.org/10.1001/jamanetworkopen.2023.12465</w:t>
        </w:r>
      </w:hyperlink>
    </w:p>
    <w:p w14:paraId="1DBFDE2F" w14:textId="77777777" w:rsidR="008A5B82" w:rsidRDefault="00000000">
      <w:pPr>
        <w:pStyle w:val="Bibliography"/>
      </w:pPr>
      <w:bookmarkStart w:id="27" w:name="ref-lang2021"/>
      <w:bookmarkEnd w:id="26"/>
      <w:r>
        <w:t xml:space="preserve">Lang, B. J., &amp; Lang, M. (2021). Pandemics, Protests, and Firearms. </w:t>
      </w:r>
      <w:r>
        <w:rPr>
          <w:i/>
          <w:iCs/>
        </w:rPr>
        <w:t>American Journal of Health Economics</w:t>
      </w:r>
      <w:r>
        <w:t xml:space="preserve">, </w:t>
      </w:r>
      <w:r>
        <w:rPr>
          <w:i/>
          <w:iCs/>
        </w:rPr>
        <w:t>7</w:t>
      </w:r>
      <w:r>
        <w:t xml:space="preserve">(2), 131–163. </w:t>
      </w:r>
      <w:hyperlink r:id="rId26">
        <w:r>
          <w:rPr>
            <w:rStyle w:val="Hyperlink"/>
          </w:rPr>
          <w:t>https://doi.org/10.1086/713035</w:t>
        </w:r>
      </w:hyperlink>
    </w:p>
    <w:p w14:paraId="64BB82D2" w14:textId="77777777" w:rsidR="008A5B82" w:rsidRDefault="00000000">
      <w:pPr>
        <w:pStyle w:val="Bibliography"/>
      </w:pPr>
      <w:bookmarkStart w:id="28" w:name="ref-levine2020"/>
      <w:bookmarkEnd w:id="27"/>
      <w:r>
        <w:t xml:space="preserve">Levine, P., &amp; McKnight, R. (2020). </w:t>
      </w:r>
      <w:r>
        <w:rPr>
          <w:i/>
          <w:iCs/>
        </w:rPr>
        <w:t>Three million more guns</w:t>
      </w:r>
      <w:r>
        <w:t xml:space="preserve">. </w:t>
      </w:r>
      <w:hyperlink r:id="rId27">
        <w:r>
          <w:rPr>
            <w:rStyle w:val="Hyperlink"/>
          </w:rPr>
          <w:t>https://policycommons.net/artifacts/4139054/three-million-more-guns/4947646/</w:t>
        </w:r>
      </w:hyperlink>
    </w:p>
    <w:p w14:paraId="089692A7" w14:textId="77777777" w:rsidR="008A5B82" w:rsidRDefault="00000000">
      <w:pPr>
        <w:pStyle w:val="Bibliography"/>
      </w:pPr>
      <w:bookmarkStart w:id="29" w:name="ref-lizotte2000"/>
      <w:bookmarkEnd w:id="28"/>
      <w:r>
        <w:t xml:space="preserve">Lizotte, A. J., Krohn, M. D., Howell, J. C., Tobin, K., &amp; Howard, G. J. (2000). FACTORS INFLUENCING GUN CARRYING AMONG YOUNG URBAN MALES OVER THE ADOLESCENT-YOUNG ADULT LIFE COURSE*. </w:t>
      </w:r>
      <w:r>
        <w:rPr>
          <w:i/>
          <w:iCs/>
        </w:rPr>
        <w:t>Criminology</w:t>
      </w:r>
      <w:r>
        <w:t xml:space="preserve">, </w:t>
      </w:r>
      <w:r>
        <w:rPr>
          <w:i/>
          <w:iCs/>
        </w:rPr>
        <w:t>38</w:t>
      </w:r>
      <w:r>
        <w:t xml:space="preserve">(3), 811–834. </w:t>
      </w:r>
      <w:hyperlink r:id="rId28">
        <w:r>
          <w:rPr>
            <w:rStyle w:val="Hyperlink"/>
          </w:rPr>
          <w:t>https://doi.org/10.1111/j.1745-9125.2000.tb00907.x</w:t>
        </w:r>
      </w:hyperlink>
    </w:p>
    <w:p w14:paraId="1384B469" w14:textId="77777777" w:rsidR="008A5B82" w:rsidRDefault="00000000">
      <w:pPr>
        <w:pStyle w:val="Bibliography"/>
      </w:pPr>
      <w:bookmarkStart w:id="30" w:name="ref-luckenbill1977"/>
      <w:bookmarkEnd w:id="29"/>
      <w:r>
        <w:t xml:space="preserve">Luckenbill, D. F. (1977). Criminal homicide as a situated transaction. </w:t>
      </w:r>
      <w:r>
        <w:rPr>
          <w:i/>
          <w:iCs/>
        </w:rPr>
        <w:t>Social Problems</w:t>
      </w:r>
      <w:r>
        <w:t xml:space="preserve">, </w:t>
      </w:r>
      <w:r>
        <w:rPr>
          <w:i/>
          <w:iCs/>
        </w:rPr>
        <w:t>25</w:t>
      </w:r>
      <w:r>
        <w:t xml:space="preserve">(2), 176–186. </w:t>
      </w:r>
      <w:hyperlink r:id="rId29">
        <w:r>
          <w:rPr>
            <w:rStyle w:val="Hyperlink"/>
          </w:rPr>
          <w:t>https://doi.org/10.2307/800293</w:t>
        </w:r>
      </w:hyperlink>
    </w:p>
    <w:p w14:paraId="6509EC45" w14:textId="77777777" w:rsidR="008A5B82" w:rsidRDefault="00000000">
      <w:pPr>
        <w:pStyle w:val="Bibliography"/>
      </w:pPr>
      <w:bookmarkStart w:id="31" w:name="ref-miller2022"/>
      <w:bookmarkEnd w:id="30"/>
      <w:r>
        <w:t xml:space="preserve">Miller, M., Zhang, W., &amp; Azrael, D. (2022). Firearm purchasing during the COVID-19 pandemic: Results from the 2021 National Firearms Survey. </w:t>
      </w:r>
      <w:r>
        <w:rPr>
          <w:i/>
          <w:iCs/>
        </w:rPr>
        <w:t>Annals of Internal Medicine</w:t>
      </w:r>
      <w:r>
        <w:t xml:space="preserve">, </w:t>
      </w:r>
      <w:r>
        <w:rPr>
          <w:i/>
          <w:iCs/>
        </w:rPr>
        <w:t>175</w:t>
      </w:r>
      <w:r>
        <w:t xml:space="preserve">(2), 219–225. </w:t>
      </w:r>
      <w:hyperlink r:id="rId30">
        <w:r>
          <w:rPr>
            <w:rStyle w:val="Hyperlink"/>
          </w:rPr>
          <w:t>https://doi.org/10.7326/M21-3423</w:t>
        </w:r>
      </w:hyperlink>
    </w:p>
    <w:p w14:paraId="48BA01E3" w14:textId="77777777" w:rsidR="008A5B82" w:rsidRDefault="00000000">
      <w:pPr>
        <w:pStyle w:val="Bibliography"/>
      </w:pPr>
      <w:bookmarkStart w:id="32" w:name="ref-molnar2004"/>
      <w:bookmarkEnd w:id="31"/>
      <w:r>
        <w:t xml:space="preserve">Molnar, B. E., Miller, M. J., Azrael, D., &amp; Buka, S. L. (2004). Neighborhood Predictors of Concealed Firearm Carrying Among Children and Adolescents: Results From the Project on Human Development in Chicago Neighborhoods. </w:t>
      </w:r>
      <w:r>
        <w:rPr>
          <w:i/>
          <w:iCs/>
        </w:rPr>
        <w:t>Archives of Pediatrics &amp; Adolescent Medicine</w:t>
      </w:r>
      <w:r>
        <w:t xml:space="preserve">, </w:t>
      </w:r>
      <w:r>
        <w:rPr>
          <w:i/>
          <w:iCs/>
        </w:rPr>
        <w:t>158</w:t>
      </w:r>
      <w:r>
        <w:t xml:space="preserve">(7), 657. </w:t>
      </w:r>
      <w:hyperlink r:id="rId31">
        <w:r>
          <w:rPr>
            <w:rStyle w:val="Hyperlink"/>
          </w:rPr>
          <w:t>https://doi.org/10.1001/archpedi.158.7.657</w:t>
        </w:r>
      </w:hyperlink>
    </w:p>
    <w:p w14:paraId="22E72DBE" w14:textId="77777777" w:rsidR="008A5B82" w:rsidRDefault="00000000">
      <w:pPr>
        <w:pStyle w:val="Bibliography"/>
      </w:pPr>
      <w:bookmarkStart w:id="33" w:name="ref-moorePoliceWeaponsOffenses1980"/>
      <w:bookmarkEnd w:id="32"/>
      <w:r>
        <w:t xml:space="preserve">Moore, M. H. (1980). The Police and Weapons Offenses. </w:t>
      </w:r>
      <w:r>
        <w:rPr>
          <w:i/>
          <w:iCs/>
        </w:rPr>
        <w:t>The ANNALS of the American Academy of Political and Social Science</w:t>
      </w:r>
      <w:r>
        <w:t xml:space="preserve">, </w:t>
      </w:r>
      <w:r>
        <w:rPr>
          <w:i/>
          <w:iCs/>
        </w:rPr>
        <w:t>452</w:t>
      </w:r>
      <w:r>
        <w:t xml:space="preserve">(1), 22–32. </w:t>
      </w:r>
      <w:hyperlink r:id="rId32">
        <w:r>
          <w:rPr>
            <w:rStyle w:val="Hyperlink"/>
          </w:rPr>
          <w:t>https://doi.org/10.1177/000271628045200103</w:t>
        </w:r>
      </w:hyperlink>
    </w:p>
    <w:p w14:paraId="19D2A86B" w14:textId="77777777" w:rsidR="008A5B82" w:rsidRDefault="00000000">
      <w:pPr>
        <w:pStyle w:val="Bibliography"/>
      </w:pPr>
      <w:bookmarkStart w:id="34" w:name="ref-nicsfir"/>
      <w:bookmarkEnd w:id="33"/>
      <w:r>
        <w:rPr>
          <w:i/>
          <w:iCs/>
        </w:rPr>
        <w:t>NICS firearm checks: Month/year</w:t>
      </w:r>
      <w:r>
        <w:t xml:space="preserve">. (n.d.). </w:t>
      </w:r>
      <w:hyperlink r:id="rId33">
        <w:r>
          <w:rPr>
            <w:rStyle w:val="Hyperlink"/>
          </w:rPr>
          <w:t>https://www.fbi.gov/file-repository/nics_firearm_checks_-_month_year.pdf/view</w:t>
        </w:r>
      </w:hyperlink>
    </w:p>
    <w:p w14:paraId="4193D4E8" w14:textId="77777777" w:rsidR="008A5B82" w:rsidRDefault="00000000">
      <w:pPr>
        <w:pStyle w:val="Bibliography"/>
      </w:pPr>
      <w:bookmarkStart w:id="35" w:name="ref-oliphant2019"/>
      <w:bookmarkEnd w:id="34"/>
      <w:r>
        <w:t xml:space="preserve">Oliphant, S. N., Mouch, C. A., Rowhani-Rahbar, A., Hargarten, S., Jay, J., Hemenway, D., Zimmerman, M., Carter, P. M., &amp; FACTS Consortium, for the. (2019). A scoping review of patterns, </w:t>
      </w:r>
      <w:r>
        <w:lastRenderedPageBreak/>
        <w:t xml:space="preserve">motives, and risk and protective factors for adolescent firearm carriage. </w:t>
      </w:r>
      <w:r>
        <w:rPr>
          <w:i/>
          <w:iCs/>
        </w:rPr>
        <w:t>Journal of Behavioral Medicine</w:t>
      </w:r>
      <w:r>
        <w:t xml:space="preserve">, </w:t>
      </w:r>
      <w:r>
        <w:rPr>
          <w:i/>
          <w:iCs/>
        </w:rPr>
        <w:t>42</w:t>
      </w:r>
      <w:r>
        <w:t xml:space="preserve">(4), 763–810. </w:t>
      </w:r>
      <w:hyperlink r:id="rId34">
        <w:r>
          <w:rPr>
            <w:rStyle w:val="Hyperlink"/>
          </w:rPr>
          <w:t>https://doi.org/10.1007/s10865-019-00048-x</w:t>
        </w:r>
      </w:hyperlink>
    </w:p>
    <w:p w14:paraId="5F5B9F6C" w14:textId="77777777" w:rsidR="008A5B82" w:rsidRDefault="00000000">
      <w:pPr>
        <w:pStyle w:val="Bibliography"/>
      </w:pPr>
      <w:bookmarkStart w:id="36" w:name="ref-parker2017"/>
      <w:bookmarkEnd w:id="35"/>
      <w:r>
        <w:t xml:space="preserve">Parker, K., Horowitz, J. M., Igielnik, R., Oliphant, J. B., &amp; Brown, A. (2017). </w:t>
      </w:r>
      <w:r>
        <w:rPr>
          <w:i/>
          <w:iCs/>
        </w:rPr>
        <w:t>America’s complex relationship with guns</w:t>
      </w:r>
      <w:r>
        <w:t xml:space="preserve">. </w:t>
      </w:r>
      <w:hyperlink r:id="rId35">
        <w:r>
          <w:rPr>
            <w:rStyle w:val="Hyperlink"/>
          </w:rPr>
          <w:t>https://policycommons.net/artifacts/617827/americas-complex-relationship-with-guns/1598689/</w:t>
        </w:r>
      </w:hyperlink>
    </w:p>
    <w:p w14:paraId="58FFD597" w14:textId="77777777" w:rsidR="008A5B82" w:rsidRDefault="00000000">
      <w:pPr>
        <w:pStyle w:val="Bibliography"/>
      </w:pPr>
      <w:bookmarkStart w:id="37" w:name="ref-reny2021"/>
      <w:bookmarkEnd w:id="36"/>
      <w:r>
        <w:t xml:space="preserve">Reny, T. T., &amp; Newman, B. J. (2021). The Opinion-Mobilizing Effect of Social Protest against Police Violence: Evidence from the 2020 George Floyd Protests. </w:t>
      </w:r>
      <w:r>
        <w:rPr>
          <w:i/>
          <w:iCs/>
        </w:rPr>
        <w:t>American Political Science Review</w:t>
      </w:r>
      <w:r>
        <w:t xml:space="preserve">, </w:t>
      </w:r>
      <w:r>
        <w:rPr>
          <w:i/>
          <w:iCs/>
        </w:rPr>
        <w:t>115</w:t>
      </w:r>
      <w:r>
        <w:t xml:space="preserve">(4), 1499–1507. </w:t>
      </w:r>
      <w:hyperlink r:id="rId36">
        <w:r>
          <w:rPr>
            <w:rStyle w:val="Hyperlink"/>
          </w:rPr>
          <w:t>https://doi.org/10.1017/S0003055421000460</w:t>
        </w:r>
      </w:hyperlink>
    </w:p>
    <w:p w14:paraId="69B1D626" w14:textId="77777777" w:rsidR="008A5B82" w:rsidRDefault="00000000">
      <w:pPr>
        <w:pStyle w:val="Bibliography"/>
      </w:pPr>
      <w:bookmarkStart w:id="38" w:name="ref-rosenfeld2023"/>
      <w:bookmarkEnd w:id="37"/>
      <w:r>
        <w:t xml:space="preserve">Rosenfeld, R., Boxerman, B., &amp; Lopez, E. (2023). </w:t>
      </w:r>
      <w:r>
        <w:rPr>
          <w:i/>
          <w:iCs/>
        </w:rPr>
        <w:t>Pandemic, social unrest, and crime in US cities: Year-end 2022 update</w:t>
      </w:r>
      <w:r>
        <w:t>.</w:t>
      </w:r>
    </w:p>
    <w:p w14:paraId="667156E7" w14:textId="77777777" w:rsidR="008A5B82" w:rsidRDefault="00000000">
      <w:pPr>
        <w:pStyle w:val="Bibliography"/>
      </w:pPr>
      <w:bookmarkStart w:id="39" w:name="ref-rubin1987"/>
      <w:bookmarkEnd w:id="38"/>
      <w:r>
        <w:t xml:space="preserve">Rubin, D. B. (1987). </w:t>
      </w:r>
      <w:r>
        <w:rPr>
          <w:i/>
          <w:iCs/>
        </w:rPr>
        <w:t>Multiple Imputation for Nonresponse in Surveys</w:t>
      </w:r>
      <w:r>
        <w:t xml:space="preserve"> (1st ed.). Wiley. </w:t>
      </w:r>
      <w:hyperlink r:id="rId37">
        <w:r>
          <w:rPr>
            <w:rStyle w:val="Hyperlink"/>
          </w:rPr>
          <w:t>https://doi.org/10.1002/9780470316696</w:t>
        </w:r>
      </w:hyperlink>
    </w:p>
    <w:p w14:paraId="251FD9B9" w14:textId="77777777" w:rsidR="008A5B82" w:rsidRDefault="00000000">
      <w:pPr>
        <w:pStyle w:val="Bibliography"/>
      </w:pPr>
      <w:bookmarkStart w:id="40" w:name="ref-sampson1998"/>
      <w:bookmarkEnd w:id="39"/>
      <w:r>
        <w:t xml:space="preserve">Sampson, R. J., &amp; Bartusch, D. J. (1998). Legal cynicism and (subcultural?) tolerance of deviance: The neighborhood context of racial differences. </w:t>
      </w:r>
      <w:r>
        <w:rPr>
          <w:i/>
          <w:iCs/>
        </w:rPr>
        <w:t>Law &amp; Society Review</w:t>
      </w:r>
      <w:r>
        <w:t xml:space="preserve">, </w:t>
      </w:r>
      <w:r>
        <w:rPr>
          <w:i/>
          <w:iCs/>
        </w:rPr>
        <w:t>32</w:t>
      </w:r>
      <w:r>
        <w:t xml:space="preserve">(4), 777–804. </w:t>
      </w:r>
      <w:hyperlink r:id="rId38">
        <w:r>
          <w:rPr>
            <w:rStyle w:val="Hyperlink"/>
          </w:rPr>
          <w:t>https://doi.org/10.2307/827739</w:t>
        </w:r>
      </w:hyperlink>
    </w:p>
    <w:p w14:paraId="51F06712" w14:textId="77777777" w:rsidR="008A5B82" w:rsidRDefault="00000000">
      <w:pPr>
        <w:pStyle w:val="Bibliography"/>
      </w:pPr>
      <w:bookmarkStart w:id="41" w:name="ref-sampson2022"/>
      <w:bookmarkEnd w:id="40"/>
      <w:r>
        <w:t xml:space="preserve">Sampson, R. J., Kirk, D. S., &amp; Bucci, R. (2022). Cohort Profile: Project on Human Development in Chicago Neighborhoods and Its Additions (PHDCN+). </w:t>
      </w:r>
      <w:r>
        <w:rPr>
          <w:i/>
          <w:iCs/>
        </w:rPr>
        <w:t>Journal of Developmental and Life-Course Criminology</w:t>
      </w:r>
      <w:r>
        <w:t xml:space="preserve">, </w:t>
      </w:r>
      <w:r>
        <w:rPr>
          <w:i/>
          <w:iCs/>
        </w:rPr>
        <w:t>8</w:t>
      </w:r>
      <w:r>
        <w:t xml:space="preserve">(3), 516–532. </w:t>
      </w:r>
      <w:hyperlink r:id="rId39">
        <w:r>
          <w:rPr>
            <w:rStyle w:val="Hyperlink"/>
          </w:rPr>
          <w:t>https://doi.org/10.1007/s40865-022-00203-0</w:t>
        </w:r>
      </w:hyperlink>
    </w:p>
    <w:p w14:paraId="0EAF07B7" w14:textId="77777777" w:rsidR="008A5B82" w:rsidRDefault="00000000">
      <w:pPr>
        <w:pStyle w:val="Bibliography"/>
      </w:pPr>
      <w:bookmarkStart w:id="42" w:name="ref-schaefferKeyFactsAmericans2023"/>
      <w:bookmarkEnd w:id="41"/>
      <w:r>
        <w:t xml:space="preserve">Schaeffer, K. (2023). </w:t>
      </w:r>
      <w:r>
        <w:rPr>
          <w:i/>
          <w:iCs/>
        </w:rPr>
        <w:t>Key facts about americans and guns</w:t>
      </w:r>
      <w:r>
        <w:t xml:space="preserve">. </w:t>
      </w:r>
      <w:hyperlink r:id="rId40">
        <w:r>
          <w:rPr>
            <w:rStyle w:val="Hyperlink"/>
          </w:rPr>
          <w:t>https://www.pewresearch.org/short-reads/2023/09/13/key-facts-about-americans-and-guns/</w:t>
        </w:r>
      </w:hyperlink>
    </w:p>
    <w:p w14:paraId="6BC7B9B7" w14:textId="77777777" w:rsidR="008A5B82" w:rsidRDefault="00000000">
      <w:pPr>
        <w:pStyle w:val="Bibliography"/>
      </w:pPr>
      <w:bookmarkStart w:id="43" w:name="ref-shapira2018"/>
      <w:bookmarkEnd w:id="42"/>
      <w:r>
        <w:t xml:space="preserve">Shapira, H., Jensen, K., &amp; Lin, K.-H. (2018). Trends and Patterns of Concealed Handgun License Applications: A Multistate Analysis. </w:t>
      </w:r>
      <w:r>
        <w:rPr>
          <w:i/>
          <w:iCs/>
        </w:rPr>
        <w:t>Social Currents</w:t>
      </w:r>
      <w:r>
        <w:t xml:space="preserve">, </w:t>
      </w:r>
      <w:r>
        <w:rPr>
          <w:i/>
          <w:iCs/>
        </w:rPr>
        <w:t>5</w:t>
      </w:r>
      <w:r>
        <w:t xml:space="preserve">(1), 3–14. </w:t>
      </w:r>
      <w:hyperlink r:id="rId41">
        <w:r>
          <w:rPr>
            <w:rStyle w:val="Hyperlink"/>
          </w:rPr>
          <w:t>https://doi.org/10.1177/2329496517725334</w:t>
        </w:r>
      </w:hyperlink>
    </w:p>
    <w:p w14:paraId="682C9132" w14:textId="77777777" w:rsidR="008A5B82" w:rsidRDefault="00000000">
      <w:pPr>
        <w:pStyle w:val="Bibliography"/>
      </w:pPr>
      <w:bookmarkStart w:id="44" w:name="ref-sheley1993"/>
      <w:bookmarkEnd w:id="43"/>
      <w:r>
        <w:t xml:space="preserve">Sheley, J. F., &amp; Wright, J. D. (1993). </w:t>
      </w:r>
      <w:r>
        <w:rPr>
          <w:i/>
          <w:iCs/>
        </w:rPr>
        <w:t>Gun acquisition and possession in selected juvenile samples</w:t>
      </w:r>
      <w:r>
        <w:t xml:space="preserve">. </w:t>
      </w:r>
      <w:hyperlink r:id="rId42">
        <w:r>
          <w:rPr>
            <w:rStyle w:val="Hyperlink"/>
          </w:rPr>
          <w:t>https://www.ojp.gov/library/publications/gun-acquisition-and-possession-selected-juvenile-samples</w:t>
        </w:r>
      </w:hyperlink>
    </w:p>
    <w:p w14:paraId="10CB24C7" w14:textId="77777777" w:rsidR="008A5B82" w:rsidRDefault="00000000">
      <w:pPr>
        <w:pStyle w:val="Bibliography"/>
      </w:pPr>
      <w:bookmarkStart w:id="45" w:name="ref-shermanGunCarryingHomicide2000"/>
      <w:bookmarkEnd w:id="44"/>
      <w:r>
        <w:t xml:space="preserve">Sherman, L. W. (2000). Gun carrying and homicide prevention. </w:t>
      </w:r>
      <w:r>
        <w:rPr>
          <w:i/>
          <w:iCs/>
        </w:rPr>
        <w:t>JAMA</w:t>
      </w:r>
      <w:r>
        <w:t xml:space="preserve">, </w:t>
      </w:r>
      <w:r>
        <w:rPr>
          <w:i/>
          <w:iCs/>
        </w:rPr>
        <w:t>283</w:t>
      </w:r>
      <w:r>
        <w:t xml:space="preserve">(9), 1193. </w:t>
      </w:r>
      <w:hyperlink r:id="rId43">
        <w:r>
          <w:rPr>
            <w:rStyle w:val="Hyperlink"/>
          </w:rPr>
          <w:t>https://doi.org/10.1001/jama.283.9.1193</w:t>
        </w:r>
      </w:hyperlink>
    </w:p>
    <w:p w14:paraId="5C4E9233" w14:textId="77777777" w:rsidR="008A5B82" w:rsidRDefault="00000000">
      <w:pPr>
        <w:pStyle w:val="Bibliography"/>
      </w:pPr>
      <w:bookmarkStart w:id="46" w:name="ref-shermanEffectsGunSeizures1995"/>
      <w:bookmarkEnd w:id="45"/>
      <w:r>
        <w:t xml:space="preserve">Sherman, L. W., &amp; Rogan, D. P. (1995). Effects of gun seizures on gun violence: “Hot spots” patrol in Kansas city. </w:t>
      </w:r>
      <w:r>
        <w:rPr>
          <w:i/>
          <w:iCs/>
        </w:rPr>
        <w:t>Justice Quarterly</w:t>
      </w:r>
      <w:r>
        <w:t xml:space="preserve">, </w:t>
      </w:r>
      <w:r>
        <w:rPr>
          <w:i/>
          <w:iCs/>
        </w:rPr>
        <w:t>12</w:t>
      </w:r>
      <w:r>
        <w:t xml:space="preserve">(4), 673–693. </w:t>
      </w:r>
      <w:hyperlink r:id="rId44">
        <w:r>
          <w:rPr>
            <w:rStyle w:val="Hyperlink"/>
          </w:rPr>
          <w:t>https://doi.org/10.1080/07418829500096241</w:t>
        </w:r>
      </w:hyperlink>
    </w:p>
    <w:p w14:paraId="4D4B994D" w14:textId="77777777" w:rsidR="008A5B82" w:rsidRDefault="00000000">
      <w:pPr>
        <w:pStyle w:val="Bibliography"/>
      </w:pPr>
      <w:bookmarkStart w:id="47" w:name="ref-spanoNexusGangMembership2011"/>
      <w:bookmarkEnd w:id="46"/>
      <w:r>
        <w:t xml:space="preserve">Spano, R., &amp; Bolland, J. M. (2011). Is the Nexus of Gang Membership, Exposure to Violence, and Violent Behavior a Key Determinant of First Time Gun Carrying for Urban Minority Youth? </w:t>
      </w:r>
      <w:r>
        <w:rPr>
          <w:i/>
          <w:iCs/>
        </w:rPr>
        <w:t>Justice Quarterly</w:t>
      </w:r>
      <w:r>
        <w:t xml:space="preserve">, </w:t>
      </w:r>
      <w:r>
        <w:rPr>
          <w:i/>
          <w:iCs/>
        </w:rPr>
        <w:t>28</w:t>
      </w:r>
      <w:r>
        <w:t xml:space="preserve">(6), 838–862. </w:t>
      </w:r>
      <w:hyperlink r:id="rId45">
        <w:r>
          <w:rPr>
            <w:rStyle w:val="Hyperlink"/>
          </w:rPr>
          <w:t>https://doi.org/10.1080/07418825.2010.547868</w:t>
        </w:r>
      </w:hyperlink>
    </w:p>
    <w:p w14:paraId="6844F297" w14:textId="77777777" w:rsidR="008A5B82" w:rsidRDefault="00000000">
      <w:pPr>
        <w:pStyle w:val="Bibliography"/>
      </w:pPr>
      <w:bookmarkStart w:id="48" w:name="ref-stroebe2017"/>
      <w:bookmarkEnd w:id="47"/>
      <w:r>
        <w:lastRenderedPageBreak/>
        <w:t xml:space="preserve">Stroebe, W., Leander, N. P., &amp; Kruglanski, A. W. (2017). Is It a Dangerous World Out There? The Motivational Bases of American Gun Ownership. </w:t>
      </w:r>
      <w:r>
        <w:rPr>
          <w:i/>
          <w:iCs/>
        </w:rPr>
        <w:t>Personality and Social Psychology Bulletin</w:t>
      </w:r>
      <w:r>
        <w:t xml:space="preserve">, </w:t>
      </w:r>
      <w:r>
        <w:rPr>
          <w:i/>
          <w:iCs/>
        </w:rPr>
        <w:t>43</w:t>
      </w:r>
      <w:r>
        <w:t xml:space="preserve">(8), 1071–1085. </w:t>
      </w:r>
      <w:hyperlink r:id="rId46">
        <w:r>
          <w:rPr>
            <w:rStyle w:val="Hyperlink"/>
          </w:rPr>
          <w:t>https://doi.org/10.1177/0146167217703952</w:t>
        </w:r>
      </w:hyperlink>
    </w:p>
    <w:p w14:paraId="381B7FF8" w14:textId="77777777" w:rsidR="008A5B82" w:rsidRDefault="00000000">
      <w:pPr>
        <w:pStyle w:val="Bibliography"/>
      </w:pPr>
      <w:bookmarkStart w:id="49" w:name="ref-studdert2020"/>
      <w:bookmarkEnd w:id="48"/>
      <w:r>
        <w:t xml:space="preserve">Studdert, D. M., Zhang, Y., Swanson, S. A., Prince, L., Rodden, J. A., Holsinger, E. E., Spittal, M. J., Wintemute, G. J., &amp; Miller, M. (2020). Handgun Ownership and Suicide in California. </w:t>
      </w:r>
      <w:r>
        <w:rPr>
          <w:i/>
          <w:iCs/>
        </w:rPr>
        <w:t>New England Journal of Medicine</w:t>
      </w:r>
      <w:r>
        <w:t xml:space="preserve">, </w:t>
      </w:r>
      <w:r>
        <w:rPr>
          <w:i/>
          <w:iCs/>
        </w:rPr>
        <w:t>382</w:t>
      </w:r>
      <w:r>
        <w:t xml:space="preserve">(23), 2220–2229. </w:t>
      </w:r>
      <w:hyperlink r:id="rId47">
        <w:r>
          <w:rPr>
            <w:rStyle w:val="Hyperlink"/>
          </w:rPr>
          <w:t>https://doi.org/10.1056/NEJMsa1916744</w:t>
        </w:r>
      </w:hyperlink>
    </w:p>
    <w:p w14:paraId="12092344" w14:textId="77777777" w:rsidR="008A5B82" w:rsidRDefault="00000000">
      <w:pPr>
        <w:pStyle w:val="Bibliography"/>
      </w:pPr>
      <w:bookmarkStart w:id="50" w:name="ref-teplinAssociationFirearmAccess2021"/>
      <w:bookmarkEnd w:id="49"/>
      <w:r>
        <w:t xml:space="preserve">Teplin, L. A., Meyerson, N. S., Jakubowski, J. A., Aaby, D. A., Zheng, N., Abram, K. M., &amp; Welty, L. J. (2021). Association of Firearm Access, Use, and Victimization During Adolescence With Firearm Perpetration During Adulthood in a 16-Year Longitudinal Study of Youth Involved in the Juvenile Justice System. </w:t>
      </w:r>
      <w:r>
        <w:rPr>
          <w:i/>
          <w:iCs/>
        </w:rPr>
        <w:t>JAMA Network Open</w:t>
      </w:r>
      <w:r>
        <w:t xml:space="preserve">, </w:t>
      </w:r>
      <w:r>
        <w:rPr>
          <w:i/>
          <w:iCs/>
        </w:rPr>
        <w:t>4</w:t>
      </w:r>
      <w:r>
        <w:t xml:space="preserve">(2), e2034208. </w:t>
      </w:r>
      <w:hyperlink r:id="rId48">
        <w:r>
          <w:rPr>
            <w:rStyle w:val="Hyperlink"/>
          </w:rPr>
          <w:t>https://doi.org/10.1001/jamanetworkopen.2020.34208</w:t>
        </w:r>
      </w:hyperlink>
    </w:p>
    <w:p w14:paraId="039A96D6" w14:textId="77777777" w:rsidR="008A5B82" w:rsidRDefault="00000000">
      <w:pPr>
        <w:pStyle w:val="Bibliography"/>
      </w:pPr>
      <w:bookmarkStart w:id="51" w:name="ref-turnbull1976"/>
      <w:bookmarkEnd w:id="50"/>
      <w:r>
        <w:t xml:space="preserve">Turnbull, B. W. (1976). The Empirical Distribution Function with Arbitrarily Grouped, Censored and Truncated Data. </w:t>
      </w:r>
      <w:r>
        <w:rPr>
          <w:i/>
          <w:iCs/>
        </w:rPr>
        <w:t>Journal of the Royal Statistical Society: Series B (Methodological)</w:t>
      </w:r>
      <w:r>
        <w:t xml:space="preserve">, </w:t>
      </w:r>
      <w:r>
        <w:rPr>
          <w:i/>
          <w:iCs/>
        </w:rPr>
        <w:t>38</w:t>
      </w:r>
      <w:r>
        <w:t xml:space="preserve">(3), 290–295. </w:t>
      </w:r>
      <w:hyperlink r:id="rId49">
        <w:r>
          <w:rPr>
            <w:rStyle w:val="Hyperlink"/>
          </w:rPr>
          <w:t>https://doi.org/10.1111/j.2517-6161.1976.tb01597.x</w:t>
        </w:r>
      </w:hyperlink>
    </w:p>
    <w:p w14:paraId="5C994CE2" w14:textId="77777777" w:rsidR="008A5B82" w:rsidRDefault="00000000">
      <w:pPr>
        <w:pStyle w:val="Bibliography"/>
      </w:pPr>
      <w:bookmarkStart w:id="52" w:name="ref-warner2020"/>
      <w:bookmarkEnd w:id="51"/>
      <w:r>
        <w:t xml:space="preserve">Warner, T. D., &amp; Thrash, C. R. (2020). A Matter of Degree? Fear, Anxiety, and Protective Gun Ownership in the United States. </w:t>
      </w:r>
      <w:r>
        <w:rPr>
          <w:i/>
          <w:iCs/>
        </w:rPr>
        <w:t>Social Science Quarterly</w:t>
      </w:r>
      <w:r>
        <w:t xml:space="preserve">, </w:t>
      </w:r>
      <w:r>
        <w:rPr>
          <w:i/>
          <w:iCs/>
        </w:rPr>
        <w:t>101</w:t>
      </w:r>
      <w:r>
        <w:t xml:space="preserve">(1), 285–308. </w:t>
      </w:r>
      <w:hyperlink r:id="rId50">
        <w:r>
          <w:rPr>
            <w:rStyle w:val="Hyperlink"/>
          </w:rPr>
          <w:t>https://doi.org/10.1111/ssqu.12735</w:t>
        </w:r>
      </w:hyperlink>
    </w:p>
    <w:p w14:paraId="00275C56" w14:textId="77777777" w:rsidR="008A5B82" w:rsidRDefault="00000000">
      <w:pPr>
        <w:pStyle w:val="Bibliography"/>
      </w:pPr>
      <w:bookmarkStart w:id="53" w:name="ref-wolfgang1958"/>
      <w:bookmarkEnd w:id="52"/>
      <w:r>
        <w:t xml:space="preserve">Wolfgang, M. E. (1958). </w:t>
      </w:r>
      <w:r>
        <w:rPr>
          <w:i/>
          <w:iCs/>
        </w:rPr>
        <w:t>Patterns in criminal homicide</w:t>
      </w:r>
      <w:r>
        <w:t>. University of Pennsylvania Press.</w:t>
      </w:r>
    </w:p>
    <w:p w14:paraId="010E07BE" w14:textId="77777777" w:rsidR="008A5B82" w:rsidRDefault="00000000">
      <w:pPr>
        <w:pStyle w:val="Bibliography"/>
      </w:pPr>
      <w:bookmarkStart w:id="54" w:name="ref-yamaneGunCultureEvolution2022"/>
      <w:bookmarkEnd w:id="53"/>
      <w:r>
        <w:t xml:space="preserve">Yamane, D. (2022). Gun Culture 2.0: The Evolution and Contours of Defensive Gun Ownership in America. </w:t>
      </w:r>
      <w:r>
        <w:rPr>
          <w:i/>
          <w:iCs/>
        </w:rPr>
        <w:t>The ANNALS of the American Academy of Political and Social Science</w:t>
      </w:r>
      <w:r>
        <w:t xml:space="preserve">, </w:t>
      </w:r>
      <w:r>
        <w:rPr>
          <w:i/>
          <w:iCs/>
        </w:rPr>
        <w:t>704</w:t>
      </w:r>
      <w:r>
        <w:t xml:space="preserve">(1), 20–43. </w:t>
      </w:r>
      <w:hyperlink r:id="rId51">
        <w:r>
          <w:rPr>
            <w:rStyle w:val="Hyperlink"/>
          </w:rPr>
          <w:t>https://doi.org/10.1177/00027162231156292</w:t>
        </w:r>
      </w:hyperlink>
      <w:bookmarkEnd w:id="6"/>
      <w:bookmarkEnd w:id="7"/>
      <w:bookmarkEnd w:id="8"/>
      <w:bookmarkEnd w:id="54"/>
    </w:p>
    <w:sectPr w:rsidR="008A5B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37BFE" w14:textId="77777777" w:rsidR="0001392B" w:rsidRDefault="0001392B">
      <w:pPr>
        <w:spacing w:after="0"/>
      </w:pPr>
      <w:r>
        <w:separator/>
      </w:r>
    </w:p>
  </w:endnote>
  <w:endnote w:type="continuationSeparator" w:id="0">
    <w:p w14:paraId="0B824919" w14:textId="77777777" w:rsidR="0001392B" w:rsidRDefault="000139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1B4CF" w14:textId="77777777" w:rsidR="0001392B" w:rsidRDefault="0001392B">
      <w:r>
        <w:separator/>
      </w:r>
    </w:p>
  </w:footnote>
  <w:footnote w:type="continuationSeparator" w:id="0">
    <w:p w14:paraId="2730D1BF" w14:textId="77777777" w:rsidR="0001392B" w:rsidRDefault="0001392B">
      <w:r>
        <w:continuationSeparator/>
      </w:r>
    </w:p>
  </w:footnote>
  <w:footnote w:id="1">
    <w:p w14:paraId="2FD0E001" w14:textId="39473BFE" w:rsidR="00A86E88" w:rsidRDefault="00A86E88">
      <w:pPr>
        <w:pStyle w:val="FootnoteText"/>
      </w:pPr>
      <w:r>
        <w:rPr>
          <w:rStyle w:val="FootnoteReference"/>
        </w:rPr>
        <w:footnoteRef/>
      </w:r>
      <w:r>
        <w:t xml:space="preserve"> Blah blah blah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D4869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19074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81463485">
    <w:abstractNumId w:val="0"/>
  </w:num>
  <w:num w:numId="2" w16cid:durableId="1393235313">
    <w:abstractNumId w:val="1"/>
  </w:num>
  <w:num w:numId="3" w16cid:durableId="739983093">
    <w:abstractNumId w:val="1"/>
  </w:num>
  <w:num w:numId="4" w16cid:durableId="735472332">
    <w:abstractNumId w:val="1"/>
  </w:num>
  <w:num w:numId="5" w16cid:durableId="1814247034">
    <w:abstractNumId w:val="1"/>
  </w:num>
  <w:num w:numId="6" w16cid:durableId="1811095663">
    <w:abstractNumId w:val="1"/>
  </w:num>
  <w:num w:numId="7" w16cid:durableId="353919309">
    <w:abstractNumId w:val="1"/>
  </w:num>
  <w:num w:numId="8" w16cid:durableId="1324431520">
    <w:abstractNumId w:val="1"/>
  </w:num>
  <w:num w:numId="9" w16cid:durableId="220754858">
    <w:abstractNumId w:val="1"/>
  </w:num>
  <w:num w:numId="10" w16cid:durableId="94634442">
    <w:abstractNumId w:val="1"/>
  </w:num>
  <w:num w:numId="11" w16cid:durableId="326447161">
    <w:abstractNumId w:val="1"/>
  </w:num>
  <w:num w:numId="12" w16cid:durableId="140306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B82"/>
    <w:rsid w:val="0001392B"/>
    <w:rsid w:val="000505AA"/>
    <w:rsid w:val="001123C0"/>
    <w:rsid w:val="001542EC"/>
    <w:rsid w:val="00180F5F"/>
    <w:rsid w:val="00311029"/>
    <w:rsid w:val="0042517B"/>
    <w:rsid w:val="008A5B82"/>
    <w:rsid w:val="00A86E88"/>
    <w:rsid w:val="00B804B3"/>
    <w:rsid w:val="00C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AABF"/>
  <w15:docId w15:val="{B4E8EBF3-4922-4B76-8494-56042D0D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1029"/>
    <w:rPr>
      <w:rFonts w:ascii="EB Garamond" w:hAnsi="EB Garamond"/>
    </w:rPr>
  </w:style>
  <w:style w:type="paragraph" w:styleId="Heading1">
    <w:name w:val="heading 1"/>
    <w:basedOn w:val="Normal"/>
    <w:next w:val="BodyText"/>
    <w:autoRedefine/>
    <w:uiPriority w:val="9"/>
    <w:qFormat/>
    <w:rsid w:val="0031102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31102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11029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311029"/>
    <w:pPr>
      <w:keepNext/>
      <w:keepLines/>
      <w:spacing w:before="200" w:after="0"/>
      <w:outlineLvl w:val="3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autoRedefine/>
    <w:qFormat/>
    <w:rsid w:val="00311029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CD5981"/>
    <w:pPr>
      <w:spacing w:before="100" w:after="100"/>
      <w:ind w:left="480" w:right="480"/>
    </w:pPr>
    <w:rPr>
      <w:i/>
      <w:color w:val="4F6228" w:themeColor="accent3" w:themeShade="8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0505AA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2307/1143998" TargetMode="External"/><Relationship Id="rId18" Type="http://schemas.openxmlformats.org/officeDocument/2006/relationships/hyperlink" Target="https://doi.org/10.1016/j.ypmed.2015.04.021" TargetMode="External"/><Relationship Id="rId26" Type="http://schemas.openxmlformats.org/officeDocument/2006/relationships/hyperlink" Target="https://doi.org/10.1086/713035" TargetMode="External"/><Relationship Id="rId39" Type="http://schemas.openxmlformats.org/officeDocument/2006/relationships/hyperlink" Target="https://doi.org/10.1007/s40865-022-00203-0" TargetMode="External"/><Relationship Id="rId21" Type="http://schemas.openxmlformats.org/officeDocument/2006/relationships/hyperlink" Target="https://doi.org/10.1056/NEJM199208133270705" TargetMode="External"/><Relationship Id="rId34" Type="http://schemas.openxmlformats.org/officeDocument/2006/relationships/hyperlink" Target="https://doi.org/10.1007/s10865-019-00048-x" TargetMode="External"/><Relationship Id="rId42" Type="http://schemas.openxmlformats.org/officeDocument/2006/relationships/hyperlink" Target="https://www.ojp.gov/library/publications/gun-acquisition-and-possession-selected-juvenile-samples" TargetMode="External"/><Relationship Id="rId47" Type="http://schemas.openxmlformats.org/officeDocument/2006/relationships/hyperlink" Target="https://doi.org/10.1056/NEJMsa1916744" TargetMode="External"/><Relationship Id="rId50" Type="http://schemas.openxmlformats.org/officeDocument/2006/relationships/hyperlink" Target="https://doi.org/10.1111/ssqu.1273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socscimed.2023.115984" TargetMode="External"/><Relationship Id="rId29" Type="http://schemas.openxmlformats.org/officeDocument/2006/relationships/hyperlink" Target="https://doi.org/10.2307/800293" TargetMode="External"/><Relationship Id="rId11" Type="http://schemas.openxmlformats.org/officeDocument/2006/relationships/hyperlink" Target="https://doi.org/10.1126/science.1110096" TargetMode="External"/><Relationship Id="rId24" Type="http://schemas.openxmlformats.org/officeDocument/2006/relationships/hyperlink" Target="https://doi.org/10.1001/jamanetworkopen.2020.33484" TargetMode="External"/><Relationship Id="rId32" Type="http://schemas.openxmlformats.org/officeDocument/2006/relationships/hyperlink" Target="https://doi.org/10.1177/000271628045200103" TargetMode="External"/><Relationship Id="rId37" Type="http://schemas.openxmlformats.org/officeDocument/2006/relationships/hyperlink" Target="https://doi.org/10.1002/9780470316696" TargetMode="External"/><Relationship Id="rId40" Type="http://schemas.openxmlformats.org/officeDocument/2006/relationships/hyperlink" Target="https://www.pewresearch.org/short-reads/2023/09/13/key-facts-about-americans-and-guns/" TargetMode="External"/><Relationship Id="rId45" Type="http://schemas.openxmlformats.org/officeDocument/2006/relationships/hyperlink" Target="https://doi.org/10.1080/07418825.2010.547868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jaac.2018.01.012" TargetMode="External"/><Relationship Id="rId19" Type="http://schemas.openxmlformats.org/officeDocument/2006/relationships/hyperlink" Target="https://doi.org/10.1002/sim.2581" TargetMode="External"/><Relationship Id="rId31" Type="http://schemas.openxmlformats.org/officeDocument/2006/relationships/hyperlink" Target="https://doi.org/10.1001/archpedi.158.7.657" TargetMode="External"/><Relationship Id="rId44" Type="http://schemas.openxmlformats.org/officeDocument/2006/relationships/hyperlink" Target="https://doi.org/10.1080/07418829500096241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8637/jss.v081.i12" TargetMode="External"/><Relationship Id="rId14" Type="http://schemas.openxmlformats.org/officeDocument/2006/relationships/hyperlink" Target="https://doi.org/10.1146/annurev-criminol-061020-021528" TargetMode="External"/><Relationship Id="rId22" Type="http://schemas.openxmlformats.org/officeDocument/2006/relationships/hyperlink" Target="https://doi.org/10.1086/655754" TargetMode="External"/><Relationship Id="rId27" Type="http://schemas.openxmlformats.org/officeDocument/2006/relationships/hyperlink" Target="https://policycommons.net/artifacts/4139054/three-million-more-guns/4947646/" TargetMode="External"/><Relationship Id="rId30" Type="http://schemas.openxmlformats.org/officeDocument/2006/relationships/hyperlink" Target="https://doi.org/10.7326/M21-3423" TargetMode="External"/><Relationship Id="rId35" Type="http://schemas.openxmlformats.org/officeDocument/2006/relationships/hyperlink" Target="https://policycommons.net/artifacts/617827/americas-complex-relationship-with-guns/1598689/" TargetMode="External"/><Relationship Id="rId43" Type="http://schemas.openxmlformats.org/officeDocument/2006/relationships/hyperlink" Target="https://doi.org/10.1001/jama.283.9.1193" TargetMode="External"/><Relationship Id="rId48" Type="http://schemas.openxmlformats.org/officeDocument/2006/relationships/hyperlink" Target="https://doi.org/10.1001/jamanetworkopen.2020.34208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oi.org/10.1177/00027162231156292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2307/1143998" TargetMode="External"/><Relationship Id="rId17" Type="http://schemas.openxmlformats.org/officeDocument/2006/relationships/hyperlink" Target="https://doi.org/10.1111/j.1468-0297.2007.02098.x" TargetMode="External"/><Relationship Id="rId25" Type="http://schemas.openxmlformats.org/officeDocument/2006/relationships/hyperlink" Target="https://doi.org/10.1001/jamanetworkopen.2023.12465" TargetMode="External"/><Relationship Id="rId33" Type="http://schemas.openxmlformats.org/officeDocument/2006/relationships/hyperlink" Target="https://www.fbi.gov/file-repository/nics_firearm_checks_-_month_year.pdf/view" TargetMode="External"/><Relationship Id="rId38" Type="http://schemas.openxmlformats.org/officeDocument/2006/relationships/hyperlink" Target="https://doi.org/10.2307/827739" TargetMode="External"/><Relationship Id="rId46" Type="http://schemas.openxmlformats.org/officeDocument/2006/relationships/hyperlink" Target="https://doi.org/10.1177/0146167217703952" TargetMode="External"/><Relationship Id="rId20" Type="http://schemas.openxmlformats.org/officeDocument/2006/relationships/hyperlink" Target="https://doi.org/10.3886/E100699V12" TargetMode="External"/><Relationship Id="rId41" Type="http://schemas.openxmlformats.org/officeDocument/2006/relationships/hyperlink" Target="https://doi.org/10.1177/23294965177253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1093/bjc/azs039" TargetMode="External"/><Relationship Id="rId23" Type="http://schemas.openxmlformats.org/officeDocument/2006/relationships/hyperlink" Target="https://doi.org/10.1007/s11222-019-09860-6" TargetMode="External"/><Relationship Id="rId28" Type="http://schemas.openxmlformats.org/officeDocument/2006/relationships/hyperlink" Target="https://doi.org/10.1111/j.1745-9125.2000.tb00907.x" TargetMode="External"/><Relationship Id="rId36" Type="http://schemas.openxmlformats.org/officeDocument/2006/relationships/hyperlink" Target="https://doi.org/10.1017/S0003055421000460" TargetMode="External"/><Relationship Id="rId49" Type="http://schemas.openxmlformats.org/officeDocument/2006/relationships/hyperlink" Target="https://doi.org/10.1111/j.2517-6161.1976.tb01597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B8082-A77D-4362-B31A-FB282D70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1906</Words>
  <Characters>10866</Characters>
  <Application>Microsoft Office Word</Application>
  <DocSecurity>0</DocSecurity>
  <Lines>90</Lines>
  <Paragraphs>25</Paragraphs>
  <ScaleCrop>false</ScaleCrop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Gun carrying over the life-course</dc:title>
  <dc:creator>Charles C. Lanfear</dc:creator>
  <cp:keywords/>
  <cp:lastModifiedBy>Charles C. Lanfear</cp:lastModifiedBy>
  <cp:revision>9</cp:revision>
  <dcterms:created xsi:type="dcterms:W3CDTF">2024-01-03T22:19:00Z</dcterms:created>
  <dcterms:modified xsi:type="dcterms:W3CDTF">2024-01-03T23:05:00Z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csl/apa-7th-edition.csl</vt:lpwstr>
  </property>
  <property fmtid="{D5CDD505-2E9C-101B-9397-08002B2CF9AE}" pid="7" name="editor">
    <vt:lpwstr>visual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Initiation, continuity, and exposure to violence from childhood through early adulthood</vt:lpwstr>
  </property>
  <property fmtid="{D5CDD505-2E9C-101B-9397-08002B2CF9AE}" pid="13" name="toc-title">
    <vt:lpwstr>Table of contents</vt:lpwstr>
  </property>
</Properties>
</file>