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78E5E7E1" w:rsidR="00237870" w:rsidRDefault="00612048" w:rsidP="00237870">
      <w:pPr>
        <w:spacing w:after="120" w:line="240" w:lineRule="auto"/>
        <w:rPr>
          <w:rFonts w:ascii="Garamond" w:hAnsi="Garamond"/>
        </w:rPr>
      </w:pPr>
      <w:r>
        <w:rPr>
          <w:rFonts w:ascii="Garamond" w:hAnsi="Garamond"/>
        </w:rPr>
        <w:t>2</w:t>
      </w:r>
      <w:r w:rsidR="003461D5">
        <w:rPr>
          <w:rFonts w:ascii="Garamond" w:hAnsi="Garamond"/>
        </w:rPr>
        <w:t xml:space="preserve"> </w:t>
      </w:r>
      <w:r>
        <w:rPr>
          <w:rFonts w:ascii="Garamond" w:hAnsi="Garamond"/>
        </w:rPr>
        <w:t>June</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2602F997" w14:textId="0C101C5B" w:rsidR="002D4B3A" w:rsidRDefault="00262A00" w:rsidP="00AC56F2">
      <w:pPr>
        <w:spacing w:after="120" w:line="240" w:lineRule="auto"/>
        <w:rPr>
          <w:rFonts w:ascii="Garamond" w:hAnsi="Garamond"/>
        </w:rPr>
      </w:pPr>
      <w:r>
        <w:rPr>
          <w:rFonts w:ascii="Garamond" w:hAnsi="Garamond"/>
        </w:rPr>
        <w:t xml:space="preserve">We appreciate the suggestion to </w:t>
      </w:r>
      <w:r w:rsidR="0033455B">
        <w:rPr>
          <w:rFonts w:ascii="Garamond" w:hAnsi="Garamond"/>
        </w:rPr>
        <w:t xml:space="preserve">get deeper into the theoretical processes </w:t>
      </w:r>
      <w:r w:rsidR="00862F10">
        <w:rPr>
          <w:rFonts w:ascii="Garamond" w:hAnsi="Garamond"/>
        </w:rPr>
        <w:t xml:space="preserve">and </w:t>
      </w:r>
      <w:r w:rsidR="003E45BA">
        <w:rPr>
          <w:rFonts w:ascii="Garamond" w:hAnsi="Garamond"/>
        </w:rPr>
        <w:t xml:space="preserve">relate </w:t>
      </w:r>
      <w:r w:rsidR="00862F10">
        <w:rPr>
          <w:rFonts w:ascii="Garamond" w:hAnsi="Garamond"/>
        </w:rPr>
        <w:t>empirical evidence.</w:t>
      </w:r>
      <w:r w:rsidR="003E45BA">
        <w:rPr>
          <w:rFonts w:ascii="Garamond" w:hAnsi="Garamond"/>
        </w:rPr>
        <w:t xml:space="preserve"> </w:t>
      </w:r>
      <w:r w:rsidR="0094626D">
        <w:rPr>
          <w:rFonts w:ascii="Garamond" w:hAnsi="Garamond"/>
        </w:rPr>
        <w:t>O</w:t>
      </w:r>
      <w:r w:rsidR="003E45BA">
        <w:rPr>
          <w:rFonts w:ascii="Garamond" w:hAnsi="Garamond"/>
        </w:rPr>
        <w:t xml:space="preserve">ur goal is to use these examples to illustrate methods </w:t>
      </w:r>
      <w:r w:rsidR="0094626D">
        <w:rPr>
          <w:rFonts w:ascii="Garamond" w:hAnsi="Garamond"/>
        </w:rPr>
        <w:t xml:space="preserve">and motivate readers to be concerned with reciprocality broadly </w:t>
      </w:r>
      <w:r w:rsidR="003E45BA">
        <w:rPr>
          <w:rFonts w:ascii="Garamond" w:hAnsi="Garamond"/>
        </w:rPr>
        <w:t xml:space="preserve">rather than </w:t>
      </w:r>
      <w:r w:rsidR="0094626D">
        <w:rPr>
          <w:rFonts w:ascii="Garamond" w:hAnsi="Garamond"/>
        </w:rPr>
        <w:t xml:space="preserve">to address methodological problems or outstanding debates in these substantive areas. As a result, </w:t>
      </w:r>
      <w:r w:rsidR="000A018B">
        <w:rPr>
          <w:rFonts w:ascii="Garamond" w:hAnsi="Garamond"/>
        </w:rPr>
        <w:t>we have expanded the introduction of the substantive</w:t>
      </w:r>
      <w:r w:rsidR="00553BE8">
        <w:rPr>
          <w:rFonts w:ascii="Garamond" w:hAnsi="Garamond"/>
        </w:rPr>
        <w:t xml:space="preserve"> issues</w:t>
      </w:r>
      <w:r w:rsidR="008D563A">
        <w:rPr>
          <w:rFonts w:ascii="Garamond" w:hAnsi="Garamond"/>
        </w:rPr>
        <w:t xml:space="preserve"> </w:t>
      </w:r>
      <w:r w:rsidR="00B35344">
        <w:rPr>
          <w:rFonts w:ascii="Garamond" w:hAnsi="Garamond"/>
        </w:rPr>
        <w:t xml:space="preserve">but </w:t>
      </w:r>
      <w:r w:rsidR="00375544">
        <w:rPr>
          <w:rFonts w:ascii="Garamond" w:hAnsi="Garamond"/>
        </w:rPr>
        <w:t xml:space="preserve">still largely deferred to the literature for readers interested in the substance </w:t>
      </w:r>
      <w:r w:rsidR="008D563A">
        <w:rPr>
          <w:rFonts w:ascii="Garamond" w:hAnsi="Garamond"/>
        </w:rPr>
        <w:t>(p</w:t>
      </w:r>
      <w:r w:rsidR="001740E2">
        <w:rPr>
          <w:rFonts w:ascii="Garamond" w:hAnsi="Garamond"/>
        </w:rPr>
        <w:t>p</w:t>
      </w:r>
      <w:r w:rsidR="008D563A">
        <w:rPr>
          <w:rFonts w:ascii="Garamond" w:hAnsi="Garamond"/>
        </w:rPr>
        <w:t>.</w:t>
      </w:r>
      <w:r w:rsidR="001740E2">
        <w:rPr>
          <w:rFonts w:ascii="Garamond" w:hAnsi="Garamond"/>
        </w:rPr>
        <w:t xml:space="preserve"> 5-6</w:t>
      </w:r>
      <w:r w:rsidR="008D563A">
        <w:rPr>
          <w:rFonts w:ascii="Garamond" w:hAnsi="Garamond"/>
        </w:rPr>
        <w:t>)</w:t>
      </w:r>
      <w:r w:rsidR="00553BE8">
        <w:rPr>
          <w:rFonts w:ascii="Garamond" w:hAnsi="Garamond"/>
        </w:rPr>
        <w:t>.</w:t>
      </w:r>
      <w:r w:rsidR="009F6661">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3464E6D3" w:rsidR="0026639C" w:rsidRPr="0082689B" w:rsidRDefault="008B1601" w:rsidP="0082689B">
      <w:pPr>
        <w:spacing w:after="120" w:line="240" w:lineRule="auto"/>
        <w:rPr>
          <w:rFonts w:ascii="Garamond" w:hAnsi="Garamond"/>
        </w:rPr>
      </w:pPr>
      <w:r>
        <w:rPr>
          <w:rFonts w:ascii="Garamond" w:hAnsi="Garamond"/>
        </w:rPr>
        <w:t>We agree that it is inaccurate to state that theoretical reciprocality is not of substantive interest to most criminologists</w:t>
      </w:r>
      <w:r w:rsidR="009970FE">
        <w:rPr>
          <w:rFonts w:ascii="Garamond" w:hAnsi="Garamond"/>
        </w:rPr>
        <w:t xml:space="preserve"> and have corrected this.</w:t>
      </w:r>
      <w:r>
        <w:rPr>
          <w:rFonts w:ascii="Garamond" w:hAnsi="Garamond"/>
        </w:rPr>
        <w:t xml:space="preserve"> </w:t>
      </w:r>
      <w:r w:rsidR="009970FE">
        <w:rPr>
          <w:rFonts w:ascii="Garamond" w:hAnsi="Garamond"/>
        </w:rPr>
        <w:t>W</w:t>
      </w:r>
      <w:r>
        <w:rPr>
          <w:rFonts w:ascii="Garamond" w:hAnsi="Garamond"/>
        </w:rPr>
        <w:t xml:space="preserve">e have </w:t>
      </w:r>
      <w:r w:rsidR="009970FE">
        <w:rPr>
          <w:rFonts w:ascii="Garamond" w:hAnsi="Garamond"/>
        </w:rPr>
        <w:t xml:space="preserve">also </w:t>
      </w:r>
      <w:r>
        <w:rPr>
          <w:rFonts w:ascii="Garamond" w:hAnsi="Garamond"/>
        </w:rPr>
        <w:t>edited this</w:t>
      </w:r>
      <w:r w:rsidR="0082689B">
        <w:rPr>
          <w:rFonts w:ascii="Garamond" w:hAnsi="Garamond"/>
        </w:rPr>
        <w:t xml:space="preserve"> section</w:t>
      </w:r>
      <w:r w:rsidR="002067FC">
        <w:rPr>
          <w:rFonts w:ascii="Garamond" w:hAnsi="Garamond"/>
        </w:rPr>
        <w:t xml:space="preserve"> (p. </w:t>
      </w:r>
      <w:r w:rsidR="00265DD4">
        <w:rPr>
          <w:rFonts w:ascii="Garamond" w:hAnsi="Garamond"/>
        </w:rPr>
        <w:t>6</w:t>
      </w:r>
      <w:r w:rsidR="002067FC">
        <w:rPr>
          <w:rFonts w:ascii="Garamond" w:hAnsi="Garamond"/>
        </w:rPr>
        <w:t>)</w:t>
      </w:r>
      <w:r>
        <w:rPr>
          <w:rFonts w:ascii="Garamond" w:hAnsi="Garamond"/>
        </w:rPr>
        <w:t xml:space="preserve"> to emphasize that, like </w:t>
      </w:r>
      <w:r>
        <w:rPr>
          <w:rFonts w:ascii="Garamond" w:hAnsi="Garamond"/>
        </w:rPr>
        <w:lastRenderedPageBreak/>
        <w:t xml:space="preserve">estimands, </w:t>
      </w:r>
      <w:r w:rsidR="009F2BC5">
        <w:rPr>
          <w:rFonts w:ascii="Garamond" w:hAnsi="Garamond"/>
        </w:rPr>
        <w:t>viewing any given reciprocality as reverse causality or theoretical reciprocality is a choice linked to theory and research questions.</w:t>
      </w: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5FA1EB3E" w14:textId="644495CA" w:rsidR="00AC56F2" w:rsidRPr="00AC56F2" w:rsidRDefault="00FD24C8" w:rsidP="00AC56F2">
      <w:pPr>
        <w:spacing w:after="120" w:line="240" w:lineRule="auto"/>
        <w:rPr>
          <w:rFonts w:ascii="Garamond" w:hAnsi="Garamond"/>
        </w:rPr>
      </w:pPr>
      <w:r w:rsidRPr="005A2808">
        <w:rPr>
          <w:rFonts w:ascii="Garamond" w:hAnsi="Garamond"/>
        </w:rPr>
        <w:t xml:space="preserve">The substantive examples here are meant to serve as illustrations for the methodological considerations rather than as a focus of the paper. As a result, we have instead broadened the </w:t>
      </w:r>
      <w:r w:rsidR="00BF704B" w:rsidRPr="005A2808">
        <w:rPr>
          <w:rFonts w:ascii="Garamond" w:hAnsi="Garamond"/>
        </w:rPr>
        <w:t>discussion of</w:t>
      </w:r>
      <w:r w:rsidRPr="005A2808">
        <w:rPr>
          <w:rFonts w:ascii="Garamond" w:hAnsi="Garamond"/>
        </w:rPr>
        <w:t xml:space="preserve"> crime -&gt; employment effects to </w:t>
      </w:r>
      <w:r w:rsidR="00BB073A" w:rsidRPr="005A2808">
        <w:rPr>
          <w:rFonts w:ascii="Garamond" w:hAnsi="Garamond"/>
        </w:rPr>
        <w:t xml:space="preserve">include </w:t>
      </w:r>
      <w:r w:rsidR="00BA0F84" w:rsidRPr="005A2808">
        <w:rPr>
          <w:rFonts w:ascii="Garamond" w:hAnsi="Garamond"/>
        </w:rPr>
        <w:t>substitution</w:t>
      </w:r>
      <w:r w:rsidR="00BE4EFA" w:rsidRPr="005A2808">
        <w:rPr>
          <w:rFonts w:ascii="Garamond" w:hAnsi="Garamond"/>
        </w:rPr>
        <w:t xml:space="preserve">, human capital, and job acquisition to </w:t>
      </w:r>
      <w:r w:rsidR="002369EB" w:rsidRPr="005A2808">
        <w:rPr>
          <w:rFonts w:ascii="Garamond" w:hAnsi="Garamond"/>
        </w:rPr>
        <w:t xml:space="preserve">avoid dwelling on </w:t>
      </w:r>
      <w:r w:rsidR="0063197B" w:rsidRPr="005A2808">
        <w:rPr>
          <w:rFonts w:ascii="Garamond" w:hAnsi="Garamond"/>
        </w:rPr>
        <w:t>job loss</w:t>
      </w:r>
      <w:r w:rsidR="004D6E7E">
        <w:rPr>
          <w:rFonts w:ascii="Garamond" w:hAnsi="Garamond"/>
        </w:rPr>
        <w:t xml:space="preserve"> and to include processes operating at different paces</w:t>
      </w:r>
      <w:r w:rsidR="00265DD4">
        <w:rPr>
          <w:rFonts w:ascii="Garamond" w:hAnsi="Garamond"/>
        </w:rPr>
        <w:t xml:space="preserve"> (pp. 5-6)</w:t>
      </w:r>
      <w:r w:rsidR="00964608" w:rsidRPr="005A2808">
        <w:rPr>
          <w:rFonts w:ascii="Garamond" w:hAnsi="Garamond"/>
        </w:rPr>
        <w:t>.</w:t>
      </w: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0AA49425" w14:textId="7ECFFAFB" w:rsidR="00A6026D" w:rsidRPr="00174546" w:rsidRDefault="00A6026D" w:rsidP="00A6026D">
      <w:pPr>
        <w:spacing w:after="120" w:line="240" w:lineRule="auto"/>
        <w:jc w:val="both"/>
        <w:rPr>
          <w:rFonts w:ascii="Garamond" w:hAnsi="Garamond"/>
        </w:rPr>
      </w:pPr>
      <w:r w:rsidRPr="00174546">
        <w:rPr>
          <w:rFonts w:ascii="Garamond" w:hAnsi="Garamond"/>
        </w:rPr>
        <w:t xml:space="preserve">We thank the reviewer for prompting us to develop this point. </w:t>
      </w:r>
      <w:commentRangeStart w:id="0"/>
      <w:r w:rsidRPr="00174546">
        <w:rPr>
          <w:rFonts w:ascii="Garamond" w:hAnsi="Garamond"/>
        </w:rPr>
        <w:t xml:space="preserve">We have </w:t>
      </w:r>
      <w:r w:rsidR="00076198" w:rsidRPr="00174546">
        <w:rPr>
          <w:rFonts w:ascii="Garamond" w:hAnsi="Garamond"/>
        </w:rPr>
        <w:t xml:space="preserve">now included an </w:t>
      </w:r>
      <w:r w:rsidRPr="00174546">
        <w:rPr>
          <w:rFonts w:ascii="Garamond" w:hAnsi="Garamond"/>
        </w:rPr>
        <w:t xml:space="preserve">expanded </w:t>
      </w:r>
      <w:r w:rsidR="00A475EB" w:rsidRPr="00174546">
        <w:rPr>
          <w:rFonts w:ascii="Garamond" w:hAnsi="Garamond"/>
        </w:rPr>
        <w:t>discussion of</w:t>
      </w:r>
      <w:r w:rsidRPr="00174546">
        <w:rPr>
          <w:rFonts w:ascii="Garamond" w:hAnsi="Garamond"/>
        </w:rPr>
        <w:t xml:space="preserve"> continuous-time models</w:t>
      </w:r>
      <w:r w:rsidR="00076198" w:rsidRPr="00174546">
        <w:rPr>
          <w:rFonts w:ascii="Garamond" w:hAnsi="Garamond"/>
        </w:rPr>
        <w:t xml:space="preserve"> (</w:t>
      </w:r>
      <w:r w:rsidR="00A475EB" w:rsidRPr="00174546">
        <w:rPr>
          <w:rFonts w:ascii="Garamond" w:hAnsi="Garamond"/>
        </w:rPr>
        <w:t>p.</w:t>
      </w:r>
      <w:r w:rsidR="00076198" w:rsidRPr="00174546">
        <w:rPr>
          <w:rFonts w:ascii="Garamond" w:hAnsi="Garamond"/>
        </w:rPr>
        <w:t xml:space="preserve"> </w:t>
      </w:r>
      <w:r w:rsidR="008D7952" w:rsidRPr="00174546">
        <w:rPr>
          <w:rFonts w:ascii="Garamond" w:hAnsi="Garamond"/>
        </w:rPr>
        <w:t>11</w:t>
      </w:r>
      <w:r w:rsidR="00076198" w:rsidRPr="00174546">
        <w:rPr>
          <w:rFonts w:ascii="Garamond" w:hAnsi="Garamond"/>
        </w:rPr>
        <w:t>)</w:t>
      </w:r>
      <w:r w:rsidRPr="00174546">
        <w:rPr>
          <w:rFonts w:ascii="Garamond" w:hAnsi="Garamond"/>
        </w:rPr>
        <w:t xml:space="preserve"> that</w:t>
      </w:r>
      <w:commentRangeEnd w:id="0"/>
      <w:r w:rsidR="00660D23" w:rsidRPr="00174546">
        <w:rPr>
          <w:rStyle w:val="CommentReference"/>
          <w:rFonts w:ascii="Garamond" w:hAnsi="Garamond"/>
          <w:sz w:val="22"/>
          <w:szCs w:val="22"/>
        </w:rPr>
        <w:commentReference w:id="0"/>
      </w:r>
      <w:r w:rsidRPr="00174546">
        <w:rPr>
          <w:rFonts w:ascii="Garamond" w:hAnsi="Garamond"/>
        </w:rPr>
        <w:t xml:space="preserve"> (i) makes explicit the implicit temporal-scale assumption of discrete-time CLPMs, (ii) introduces the continuous-time alternative and its main advantage (interval-comparable parameters), and (iii) notes the embedding problem as a limit on what continuous-time models can recover from sparse panel data. We agree this is an important consideration that many applied readers will not encounter elsewhere, but we have kept the treatment compact so as not to redirect the paper toward continuous-time methods specifically.</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7E41DA9C" w14:textId="2B58F45C" w:rsidR="007230AF" w:rsidRPr="00174546" w:rsidRDefault="007230AF" w:rsidP="007230AF">
      <w:pPr>
        <w:spacing w:after="120" w:line="240" w:lineRule="auto"/>
        <w:jc w:val="both"/>
        <w:rPr>
          <w:rFonts w:ascii="Garamond" w:hAnsi="Garamond"/>
        </w:rPr>
      </w:pPr>
      <w:r w:rsidRPr="00174546">
        <w:rPr>
          <w:rFonts w:ascii="Garamond" w:hAnsi="Garamond"/>
        </w:rPr>
        <w:t>We have added text to the section introducing instantaneous and period measures (p</w:t>
      </w:r>
      <w:r w:rsidR="00174546" w:rsidRPr="00174546">
        <w:rPr>
          <w:rFonts w:ascii="Garamond" w:hAnsi="Garamond"/>
        </w:rPr>
        <w:t>p</w:t>
      </w:r>
      <w:r w:rsidRPr="00174546">
        <w:rPr>
          <w:rFonts w:ascii="Garamond" w:hAnsi="Garamond"/>
        </w:rPr>
        <w:t xml:space="preserve">. </w:t>
      </w:r>
      <w:r w:rsidR="00174546" w:rsidRPr="00174546">
        <w:rPr>
          <w:rFonts w:ascii="Garamond" w:hAnsi="Garamond"/>
        </w:rPr>
        <w:t>13-14</w:t>
      </w:r>
      <w:r w:rsidRPr="00174546">
        <w:rPr>
          <w:rFonts w:ascii="Garamond" w:hAnsi="Garamond"/>
        </w:rPr>
        <w:t>) that (i) acknowledges retrospective windows can vary across measures within a single wave, (ii) notes that "current" perception items are themselves often interpreted by respondents over an unspecified window, and (iii) flags that mismatched windows compound the within-wave ambiguity we discuss elsewhere.</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57AD4986" w14:textId="0B0B31BF" w:rsidR="00EA1AD3" w:rsidRPr="009C517C" w:rsidRDefault="00CE6F42" w:rsidP="009C517C">
      <w:pPr>
        <w:spacing w:after="120" w:line="240" w:lineRule="auto"/>
        <w:rPr>
          <w:rFonts w:ascii="Garamond" w:hAnsi="Garamond"/>
        </w:rPr>
      </w:pPr>
      <w:r>
        <w:rPr>
          <w:rFonts w:ascii="Garamond" w:hAnsi="Garamond"/>
        </w:rPr>
        <w:t>This is a</w:t>
      </w:r>
      <w:r w:rsidR="002665C0">
        <w:rPr>
          <w:rFonts w:ascii="Garamond" w:hAnsi="Garamond"/>
        </w:rPr>
        <w:t xml:space="preserve"> perhaps unfortunate</w:t>
      </w:r>
      <w:r>
        <w:rPr>
          <w:rFonts w:ascii="Garamond" w:hAnsi="Garamond"/>
        </w:rPr>
        <w:t xml:space="preserve"> consequence of having worked backwards, beginning with the technical issues we wanted to discuss and then </w:t>
      </w:r>
      <w:r w:rsidR="00D21A85">
        <w:rPr>
          <w:rFonts w:ascii="Garamond" w:hAnsi="Garamond"/>
        </w:rPr>
        <w:t xml:space="preserve">building a scaffold around them. In response, we have made a sweep of the paper looking to simplify and smooth </w:t>
      </w:r>
      <w:r w:rsidR="00D4277A">
        <w:rPr>
          <w:rFonts w:ascii="Garamond" w:hAnsi="Garamond"/>
        </w:rPr>
        <w:t xml:space="preserve">out the </w:t>
      </w:r>
      <w:r w:rsidR="00D21A85">
        <w:rPr>
          <w:rFonts w:ascii="Garamond" w:hAnsi="Garamond"/>
        </w:rPr>
        <w:t xml:space="preserve">technical </w:t>
      </w:r>
      <w:r w:rsidR="00D4277A">
        <w:rPr>
          <w:rFonts w:ascii="Garamond" w:hAnsi="Garamond"/>
        </w:rPr>
        <w:t>discussion</w:t>
      </w:r>
      <w:r w:rsidR="00D21A85">
        <w:rPr>
          <w:rFonts w:ascii="Garamond" w:hAnsi="Garamond"/>
        </w:rPr>
        <w:t xml:space="preserve"> for readers</w:t>
      </w:r>
      <w:r w:rsidR="00AA3017">
        <w:rPr>
          <w:rFonts w:ascii="Garamond" w:hAnsi="Garamond"/>
        </w:rPr>
        <w:t xml:space="preserve"> </w:t>
      </w:r>
      <w:r w:rsidR="00D4277A">
        <w:rPr>
          <w:rFonts w:ascii="Garamond" w:hAnsi="Garamond"/>
        </w:rPr>
        <w:t>by</w:t>
      </w:r>
      <w:r w:rsidR="00D21A85">
        <w:rPr>
          <w:rFonts w:ascii="Garamond" w:hAnsi="Garamond"/>
        </w:rPr>
        <w:t xml:space="preserve"> </w:t>
      </w:r>
      <w:r w:rsidR="00D4277A">
        <w:rPr>
          <w:rFonts w:ascii="Garamond" w:hAnsi="Garamond"/>
        </w:rPr>
        <w:t xml:space="preserve">condensing some sections </w:t>
      </w:r>
      <w:r w:rsidR="009C517C">
        <w:rPr>
          <w:rFonts w:ascii="Garamond" w:hAnsi="Garamond"/>
        </w:rPr>
        <w:t>and moving some technical material to footnotes (</w:t>
      </w:r>
      <w:r w:rsidR="00AA3017">
        <w:rPr>
          <w:rFonts w:ascii="Garamond" w:hAnsi="Garamond"/>
        </w:rPr>
        <w:t xml:space="preserve">e.g., </w:t>
      </w:r>
      <w:r w:rsidR="00265392">
        <w:rPr>
          <w:rFonts w:ascii="Garamond" w:hAnsi="Garamond"/>
        </w:rPr>
        <w:t xml:space="preserve">p. </w:t>
      </w:r>
      <w:r w:rsidR="00A74F10">
        <w:rPr>
          <w:rFonts w:ascii="Garamond" w:hAnsi="Garamond"/>
        </w:rPr>
        <w:t>17-18</w:t>
      </w:r>
      <w:r w:rsidR="009C517C">
        <w:rPr>
          <w:rFonts w:ascii="Garamond" w:hAnsi="Garamond"/>
        </w:rPr>
        <w:t>) and integrating</w:t>
      </w:r>
      <w:r w:rsidR="00D21A85">
        <w:rPr>
          <w:rFonts w:ascii="Garamond" w:hAnsi="Garamond"/>
        </w:rPr>
        <w:t xml:space="preserve"> examples using our </w:t>
      </w:r>
      <w:r w:rsidR="009C517C">
        <w:rPr>
          <w:rFonts w:ascii="Garamond" w:hAnsi="Garamond"/>
        </w:rPr>
        <w:t>substantive topics</w:t>
      </w:r>
      <w:r w:rsidR="006E6510">
        <w:rPr>
          <w:rFonts w:ascii="Garamond" w:hAnsi="Garamond"/>
        </w:rPr>
        <w:t xml:space="preserve"> as noted below</w:t>
      </w:r>
      <w:r w:rsidR="00D21A85">
        <w:rPr>
          <w:rFonts w:ascii="Garamond" w:hAnsi="Garamond"/>
        </w:rPr>
        <w:t>.</w:t>
      </w: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lastRenderedPageBreak/>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215BB62D" w14:textId="4A65CF03" w:rsidR="002843C8" w:rsidRDefault="0046051B" w:rsidP="00AC56F2">
      <w:pPr>
        <w:spacing w:after="120" w:line="240" w:lineRule="auto"/>
        <w:rPr>
          <w:rFonts w:ascii="Garamond" w:hAnsi="Garamond"/>
        </w:rPr>
      </w:pPr>
      <w:r>
        <w:rPr>
          <w:rFonts w:ascii="Garamond" w:hAnsi="Garamond"/>
        </w:rPr>
        <w:t xml:space="preserve">We agree that seeing some </w:t>
      </w:r>
      <w:r w:rsidR="009829F2">
        <w:rPr>
          <w:rFonts w:ascii="Garamond" w:hAnsi="Garamond"/>
        </w:rPr>
        <w:t>papers applying these methods is a great addition; w</w:t>
      </w:r>
      <w:r w:rsidR="002843C8">
        <w:rPr>
          <w:rFonts w:ascii="Garamond" w:hAnsi="Garamond"/>
        </w:rPr>
        <w:t>e have</w:t>
      </w:r>
      <w:r w:rsidR="001F13CD">
        <w:rPr>
          <w:rFonts w:ascii="Garamond" w:hAnsi="Garamond"/>
        </w:rPr>
        <w:t xml:space="preserve"> added a number of examples of studies applying these methods</w:t>
      </w:r>
      <w:r w:rsidR="009829F2">
        <w:rPr>
          <w:rFonts w:ascii="Garamond" w:hAnsi="Garamond"/>
        </w:rPr>
        <w:t xml:space="preserve"> </w:t>
      </w:r>
      <w:r w:rsidR="00E70CEF">
        <w:rPr>
          <w:rFonts w:ascii="Garamond" w:hAnsi="Garamond"/>
        </w:rPr>
        <w:t>in the development and life course subfield and in other areas</w:t>
      </w:r>
      <w:r w:rsidR="00FC12E7">
        <w:rPr>
          <w:rFonts w:ascii="Garamond" w:hAnsi="Garamond"/>
        </w:rPr>
        <w:t xml:space="preserve"> (e.g., p. </w:t>
      </w:r>
      <w:r w:rsidR="00174546">
        <w:rPr>
          <w:rFonts w:ascii="Garamond" w:hAnsi="Garamond"/>
        </w:rPr>
        <w:t>18 and p. 20</w:t>
      </w:r>
      <w:r w:rsidR="00FC12E7">
        <w:rPr>
          <w:rFonts w:ascii="Garamond" w:hAnsi="Garamond"/>
        </w:rPr>
        <w:t>)</w:t>
      </w:r>
      <w:r w:rsidR="00E70CEF">
        <w:rPr>
          <w:rFonts w:ascii="Garamond" w:hAnsi="Garamond"/>
        </w:rPr>
        <w:t>, admittedly including some of our own work</w:t>
      </w:r>
      <w:r w:rsidR="00FC12E7">
        <w:rPr>
          <w:rFonts w:ascii="Garamond" w:hAnsi="Garamond"/>
        </w:rPr>
        <w:t xml:space="preserve"> which </w:t>
      </w:r>
      <w:r w:rsidR="0010452C">
        <w:rPr>
          <w:rFonts w:ascii="Garamond" w:hAnsi="Garamond"/>
        </w:rPr>
        <w:t xml:space="preserve">explicitly </w:t>
      </w:r>
      <w:r w:rsidR="00174546">
        <w:rPr>
          <w:rFonts w:ascii="Garamond" w:hAnsi="Garamond"/>
        </w:rPr>
        <w:t>demonstrates</w:t>
      </w:r>
      <w:r w:rsidR="0010452C">
        <w:rPr>
          <w:rFonts w:ascii="Garamond" w:hAnsi="Garamond"/>
        </w:rPr>
        <w:t xml:space="preserve"> the suggestions made in the present work</w:t>
      </w:r>
      <w:r w:rsidR="00174546">
        <w:rPr>
          <w:rFonts w:ascii="Garamond" w:hAnsi="Garamond"/>
        </w:rPr>
        <w:t>.</w:t>
      </w:r>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1CAC9929" w14:textId="383EC41C" w:rsidR="004D1EA6" w:rsidRPr="00FF5137" w:rsidRDefault="004D1EA6" w:rsidP="004D1EA6">
      <w:pPr>
        <w:spacing w:after="120" w:line="240" w:lineRule="auto"/>
        <w:jc w:val="both"/>
        <w:rPr>
          <w:rFonts w:ascii="Garamond" w:hAnsi="Garamond"/>
        </w:rPr>
      </w:pPr>
      <w:r w:rsidRPr="00FF5137">
        <w:rPr>
          <w:rFonts w:ascii="Garamond" w:hAnsi="Garamond"/>
        </w:rPr>
        <w:t>We have expanded a worked illustration of the Vaisey–Miles sign-flip result</w:t>
      </w:r>
      <w:r w:rsidR="00BB5874" w:rsidRPr="00FF5137">
        <w:rPr>
          <w:rFonts w:ascii="Garamond" w:hAnsi="Garamond"/>
        </w:rPr>
        <w:t xml:space="preserve"> (p. 21)</w:t>
      </w:r>
      <w:r w:rsidRPr="00FF5137">
        <w:rPr>
          <w:rFonts w:ascii="Garamond" w:hAnsi="Garamond"/>
        </w:rPr>
        <w:t>, drawing on Ousey, Wilcox, and Fisher's (2011) study of the victimization–offending relationship. We chose this example because it provides clear evidence of how the misspecification problem manifests in published criminological work. We frame the example to emphasize that the issue reflects the limits of methodological knowledge at the time of the original study rather than researcher error.</w:t>
      </w:r>
    </w:p>
    <w:p w14:paraId="63826D7A" w14:textId="11B0C47B" w:rsidR="00C13E18" w:rsidRPr="00FF5137" w:rsidRDefault="004D1EA6" w:rsidP="004D1EA6">
      <w:pPr>
        <w:spacing w:after="120" w:line="240" w:lineRule="auto"/>
        <w:jc w:val="both"/>
        <w:rPr>
          <w:rFonts w:ascii="Garamond" w:hAnsi="Garamond"/>
        </w:rPr>
      </w:pPr>
      <w:r w:rsidRPr="00FF5137">
        <w:rPr>
          <w:rFonts w:ascii="Garamond" w:hAnsi="Garamond"/>
        </w:rPr>
        <w:t>For the inter-temporal variation section</w:t>
      </w:r>
      <w:r w:rsidR="005F7BFD">
        <w:rPr>
          <w:rFonts w:ascii="Garamond" w:hAnsi="Garamond"/>
        </w:rPr>
        <w:t>,</w:t>
      </w:r>
      <w:r w:rsidRPr="00FF5137">
        <w:rPr>
          <w:rFonts w:ascii="Garamond" w:hAnsi="Garamond"/>
        </w:rPr>
        <w:t xml:space="preserve"> we have added a life-course criminology example</w:t>
      </w:r>
      <w:r w:rsidR="00BB5874" w:rsidRPr="00FF5137">
        <w:rPr>
          <w:rFonts w:ascii="Garamond" w:hAnsi="Garamond"/>
        </w:rPr>
        <w:t xml:space="preserve"> (p. </w:t>
      </w:r>
      <w:r w:rsidR="00FF5137" w:rsidRPr="00FF5137">
        <w:rPr>
          <w:rFonts w:ascii="Garamond" w:hAnsi="Garamond"/>
        </w:rPr>
        <w:t>23)</w:t>
      </w:r>
      <w:r w:rsidRPr="00FF5137">
        <w:rPr>
          <w:rFonts w:ascii="Garamond" w:hAnsi="Garamond"/>
        </w:rPr>
        <w:t>. Working within our employment running example, we note that the foundational within-person evidence for turning-point effects required decades of data (Sampson, Laub, and Wimer 2006), and we contrast this with register-based studies whose finer resolution reveals these processes to be gradual and even anticipatory (Skardhamar and Savolainen 2014; Skardhamar, Monsbakken, and Lyngstad 2014). We use this to show that short panels can contain too little within-person change to identify a slowly-unfolding effect.</w:t>
      </w: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35E6B0C2" w14:textId="77777777" w:rsidR="00AC56F2" w:rsidRDefault="00AC56F2" w:rsidP="00CE0279">
      <w:pPr>
        <w:spacing w:after="120" w:line="240" w:lineRule="auto"/>
        <w:rPr>
          <w:rFonts w:ascii="Garamond" w:hAnsi="Garamond"/>
        </w:rPr>
      </w:pPr>
    </w:p>
    <w:p w14:paraId="11D4F0E4" w14:textId="47F5981A"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r w:rsidR="00A25DFB">
        <w:rPr>
          <w:rFonts w:ascii="Garamond" w:hAnsi="Garamond"/>
        </w:rPr>
        <w:t xml:space="preserve"> Thank you again for the thoughtful comments.</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20B38159" w:rsidR="00CE0279" w:rsidRPr="00084462" w:rsidRDefault="00CE0279" w:rsidP="00CE0279">
      <w:pPr>
        <w:rPr>
          <w:rFonts w:ascii="Garamond" w:hAnsi="Garamond"/>
        </w:rPr>
      </w:pPr>
      <w:r w:rsidRPr="00084462">
        <w:rPr>
          <w:rFonts w:ascii="Garamond" w:hAnsi="Garamond"/>
        </w:rPr>
        <w:t>Charles C. Lanfear</w:t>
      </w:r>
      <w:r w:rsidR="005A01E1">
        <w:rPr>
          <w:rFonts w:ascii="Garamond" w:hAnsi="Garamond"/>
        </w:rPr>
        <w:t xml:space="preserve"> &amp; Thiago R. Oliveira</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16"/>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31T19:57:00Z" w:initials="CL">
    <w:p w14:paraId="1AF4B249" w14:textId="77777777" w:rsidR="00660D23" w:rsidRDefault="00660D23" w:rsidP="00660D23">
      <w:pPr>
        <w:pStyle w:val="CommentText"/>
      </w:pPr>
      <w:r>
        <w:rPr>
          <w:rStyle w:val="CommentReference"/>
        </w:rPr>
        <w:annotationRef/>
      </w:r>
      <w:r>
        <w:t>I think this addition is too good to relegate to a footnote so I moved it into main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F4B2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DFCFD9" w16cex:dateUtc="2026-05-31T18:57:00Z">
    <w16cex:extLst>
      <w16:ext w16:uri="{CE6994B0-6A32-4C9F-8C6B-6E91EDA988CE}">
        <cr:reactions xmlns:cr="http://schemas.microsoft.com/office/comments/2020/reactions">
          <cr:reaction reactionType="1">
            <cr:reactionInfo dateUtc="2026-06-08T16:32:49Z">
              <cr:user userId="S::thiago.oliveira@manchester.ac.uk::42857cf5-c68d-4ed7-ac8d-11c053150e5e" userProvider="AD" userName="Thiago Oliveira"/>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F4B249" w16cid:durableId="0ADFCF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10D19" w14:textId="77777777" w:rsidR="00E74E85" w:rsidRDefault="00E74E85" w:rsidP="00084462">
      <w:pPr>
        <w:spacing w:after="0" w:line="240" w:lineRule="auto"/>
      </w:pPr>
      <w:r>
        <w:separator/>
      </w:r>
    </w:p>
  </w:endnote>
  <w:endnote w:type="continuationSeparator" w:id="0">
    <w:p w14:paraId="2C3E0C6E" w14:textId="77777777" w:rsidR="00E74E85" w:rsidRDefault="00E74E85"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A51B2" w14:textId="77777777" w:rsidR="00E74E85" w:rsidRDefault="00E74E85" w:rsidP="00084462">
      <w:pPr>
        <w:spacing w:after="0" w:line="240" w:lineRule="auto"/>
      </w:pPr>
      <w:r>
        <w:separator/>
      </w:r>
    </w:p>
  </w:footnote>
  <w:footnote w:type="continuationSeparator" w:id="0">
    <w:p w14:paraId="5773CFE1" w14:textId="77777777" w:rsidR="00E74E85" w:rsidRDefault="00E74E85"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198"/>
    <w:rsid w:val="00076829"/>
    <w:rsid w:val="000770C4"/>
    <w:rsid w:val="0008433F"/>
    <w:rsid w:val="00084462"/>
    <w:rsid w:val="00085998"/>
    <w:rsid w:val="000945C9"/>
    <w:rsid w:val="000A018B"/>
    <w:rsid w:val="000A02A5"/>
    <w:rsid w:val="000A3052"/>
    <w:rsid w:val="000A32DD"/>
    <w:rsid w:val="000C6964"/>
    <w:rsid w:val="000C7195"/>
    <w:rsid w:val="000D080A"/>
    <w:rsid w:val="000D37E6"/>
    <w:rsid w:val="000E0178"/>
    <w:rsid w:val="000F516A"/>
    <w:rsid w:val="00100C1C"/>
    <w:rsid w:val="0010452C"/>
    <w:rsid w:val="00104554"/>
    <w:rsid w:val="001225DA"/>
    <w:rsid w:val="0012329B"/>
    <w:rsid w:val="00125203"/>
    <w:rsid w:val="001364DE"/>
    <w:rsid w:val="00141C5F"/>
    <w:rsid w:val="00152A8F"/>
    <w:rsid w:val="00155B40"/>
    <w:rsid w:val="00160357"/>
    <w:rsid w:val="00160574"/>
    <w:rsid w:val="001740E2"/>
    <w:rsid w:val="00174546"/>
    <w:rsid w:val="001764E2"/>
    <w:rsid w:val="0018160A"/>
    <w:rsid w:val="00195B59"/>
    <w:rsid w:val="001B6B6E"/>
    <w:rsid w:val="001D0129"/>
    <w:rsid w:val="001D1495"/>
    <w:rsid w:val="001D30AF"/>
    <w:rsid w:val="001D4C2C"/>
    <w:rsid w:val="001F05CB"/>
    <w:rsid w:val="001F13CD"/>
    <w:rsid w:val="002067FC"/>
    <w:rsid w:val="002155F6"/>
    <w:rsid w:val="002369EB"/>
    <w:rsid w:val="00237407"/>
    <w:rsid w:val="00237870"/>
    <w:rsid w:val="00240CDF"/>
    <w:rsid w:val="00253C68"/>
    <w:rsid w:val="0025714C"/>
    <w:rsid w:val="00262A00"/>
    <w:rsid w:val="00265392"/>
    <w:rsid w:val="00265DD4"/>
    <w:rsid w:val="0026639C"/>
    <w:rsid w:val="002665C0"/>
    <w:rsid w:val="0027282B"/>
    <w:rsid w:val="00273839"/>
    <w:rsid w:val="0027579C"/>
    <w:rsid w:val="002843C8"/>
    <w:rsid w:val="00286529"/>
    <w:rsid w:val="00295592"/>
    <w:rsid w:val="00295982"/>
    <w:rsid w:val="0029706E"/>
    <w:rsid w:val="002A77D0"/>
    <w:rsid w:val="002B1A61"/>
    <w:rsid w:val="002B5006"/>
    <w:rsid w:val="002B7689"/>
    <w:rsid w:val="002B7BDC"/>
    <w:rsid w:val="002C054E"/>
    <w:rsid w:val="002C6DC1"/>
    <w:rsid w:val="002C75B6"/>
    <w:rsid w:val="002C7F1B"/>
    <w:rsid w:val="002D4B3A"/>
    <w:rsid w:val="002E1FF7"/>
    <w:rsid w:val="002F532D"/>
    <w:rsid w:val="002F6E12"/>
    <w:rsid w:val="0032305A"/>
    <w:rsid w:val="0033455B"/>
    <w:rsid w:val="00334C37"/>
    <w:rsid w:val="00342608"/>
    <w:rsid w:val="003461D5"/>
    <w:rsid w:val="00354704"/>
    <w:rsid w:val="00363A4A"/>
    <w:rsid w:val="00375544"/>
    <w:rsid w:val="003775AF"/>
    <w:rsid w:val="00380BE1"/>
    <w:rsid w:val="0038517A"/>
    <w:rsid w:val="00393074"/>
    <w:rsid w:val="00393104"/>
    <w:rsid w:val="003959EA"/>
    <w:rsid w:val="003A04D1"/>
    <w:rsid w:val="003A1376"/>
    <w:rsid w:val="003A423D"/>
    <w:rsid w:val="003A49B9"/>
    <w:rsid w:val="003B68DA"/>
    <w:rsid w:val="003C0992"/>
    <w:rsid w:val="003C1332"/>
    <w:rsid w:val="003C4CED"/>
    <w:rsid w:val="003C6A56"/>
    <w:rsid w:val="003D0EA9"/>
    <w:rsid w:val="003D2B78"/>
    <w:rsid w:val="003D68F4"/>
    <w:rsid w:val="003D6C5B"/>
    <w:rsid w:val="003E45BA"/>
    <w:rsid w:val="003E4834"/>
    <w:rsid w:val="003E4DCA"/>
    <w:rsid w:val="004035E5"/>
    <w:rsid w:val="004106FA"/>
    <w:rsid w:val="0042250B"/>
    <w:rsid w:val="00423F66"/>
    <w:rsid w:val="00425008"/>
    <w:rsid w:val="004319C3"/>
    <w:rsid w:val="00440D51"/>
    <w:rsid w:val="004474DE"/>
    <w:rsid w:val="00447552"/>
    <w:rsid w:val="0046051B"/>
    <w:rsid w:val="00463247"/>
    <w:rsid w:val="00466718"/>
    <w:rsid w:val="0046763E"/>
    <w:rsid w:val="0047705A"/>
    <w:rsid w:val="00484AFB"/>
    <w:rsid w:val="004910F3"/>
    <w:rsid w:val="00491BA7"/>
    <w:rsid w:val="00495CC9"/>
    <w:rsid w:val="004A13F4"/>
    <w:rsid w:val="004A6DA7"/>
    <w:rsid w:val="004B1495"/>
    <w:rsid w:val="004B38A9"/>
    <w:rsid w:val="004C26A9"/>
    <w:rsid w:val="004C3BBB"/>
    <w:rsid w:val="004D1EA6"/>
    <w:rsid w:val="004D2D02"/>
    <w:rsid w:val="004D4C8A"/>
    <w:rsid w:val="004D6E7E"/>
    <w:rsid w:val="004E5439"/>
    <w:rsid w:val="004F50E1"/>
    <w:rsid w:val="004F6678"/>
    <w:rsid w:val="00501438"/>
    <w:rsid w:val="00506A37"/>
    <w:rsid w:val="005205BC"/>
    <w:rsid w:val="00520B45"/>
    <w:rsid w:val="005321F3"/>
    <w:rsid w:val="00553BE8"/>
    <w:rsid w:val="005543D7"/>
    <w:rsid w:val="005574A3"/>
    <w:rsid w:val="0057328B"/>
    <w:rsid w:val="00576D44"/>
    <w:rsid w:val="005814FC"/>
    <w:rsid w:val="0058241D"/>
    <w:rsid w:val="00584DE1"/>
    <w:rsid w:val="00585CE0"/>
    <w:rsid w:val="00595C68"/>
    <w:rsid w:val="005A01E1"/>
    <w:rsid w:val="005A0A45"/>
    <w:rsid w:val="005A2808"/>
    <w:rsid w:val="005A285D"/>
    <w:rsid w:val="005B0B4D"/>
    <w:rsid w:val="005B7378"/>
    <w:rsid w:val="005C7D66"/>
    <w:rsid w:val="005D1A89"/>
    <w:rsid w:val="005D1CE8"/>
    <w:rsid w:val="005D2B9D"/>
    <w:rsid w:val="005E336A"/>
    <w:rsid w:val="005F586D"/>
    <w:rsid w:val="005F7BFD"/>
    <w:rsid w:val="00603BD2"/>
    <w:rsid w:val="00604745"/>
    <w:rsid w:val="00611617"/>
    <w:rsid w:val="00611789"/>
    <w:rsid w:val="0061194B"/>
    <w:rsid w:val="00612048"/>
    <w:rsid w:val="0063197B"/>
    <w:rsid w:val="00631A09"/>
    <w:rsid w:val="00637AA3"/>
    <w:rsid w:val="00640ED3"/>
    <w:rsid w:val="0064430B"/>
    <w:rsid w:val="0065208D"/>
    <w:rsid w:val="00655AAC"/>
    <w:rsid w:val="00660065"/>
    <w:rsid w:val="006606A3"/>
    <w:rsid w:val="00660D23"/>
    <w:rsid w:val="006631A3"/>
    <w:rsid w:val="006749E8"/>
    <w:rsid w:val="00680182"/>
    <w:rsid w:val="00690C4F"/>
    <w:rsid w:val="00694049"/>
    <w:rsid w:val="00694186"/>
    <w:rsid w:val="006A6D13"/>
    <w:rsid w:val="006B0C78"/>
    <w:rsid w:val="006D0EA9"/>
    <w:rsid w:val="006D1ACF"/>
    <w:rsid w:val="006E6510"/>
    <w:rsid w:val="006F3C22"/>
    <w:rsid w:val="006F7754"/>
    <w:rsid w:val="0070138A"/>
    <w:rsid w:val="007112CF"/>
    <w:rsid w:val="007230AF"/>
    <w:rsid w:val="007518B3"/>
    <w:rsid w:val="00751F93"/>
    <w:rsid w:val="00754B28"/>
    <w:rsid w:val="00756D58"/>
    <w:rsid w:val="007613FE"/>
    <w:rsid w:val="0076191C"/>
    <w:rsid w:val="00762B1B"/>
    <w:rsid w:val="00773351"/>
    <w:rsid w:val="00774553"/>
    <w:rsid w:val="00774B73"/>
    <w:rsid w:val="007A2ED2"/>
    <w:rsid w:val="007A31C1"/>
    <w:rsid w:val="007A479B"/>
    <w:rsid w:val="007B04A3"/>
    <w:rsid w:val="007B18EB"/>
    <w:rsid w:val="007B59D8"/>
    <w:rsid w:val="007B77EE"/>
    <w:rsid w:val="007D2B6A"/>
    <w:rsid w:val="007D5A6F"/>
    <w:rsid w:val="007E254D"/>
    <w:rsid w:val="007E3213"/>
    <w:rsid w:val="007F1884"/>
    <w:rsid w:val="007F18F4"/>
    <w:rsid w:val="007F24A3"/>
    <w:rsid w:val="007F3F11"/>
    <w:rsid w:val="00806499"/>
    <w:rsid w:val="00821285"/>
    <w:rsid w:val="0082689B"/>
    <w:rsid w:val="008268F3"/>
    <w:rsid w:val="00830881"/>
    <w:rsid w:val="00845E3A"/>
    <w:rsid w:val="00861620"/>
    <w:rsid w:val="00862F10"/>
    <w:rsid w:val="00864F6E"/>
    <w:rsid w:val="008670D7"/>
    <w:rsid w:val="00872975"/>
    <w:rsid w:val="00875BC4"/>
    <w:rsid w:val="00877157"/>
    <w:rsid w:val="008844C4"/>
    <w:rsid w:val="00893AB2"/>
    <w:rsid w:val="00896443"/>
    <w:rsid w:val="00896D02"/>
    <w:rsid w:val="008A2E9C"/>
    <w:rsid w:val="008A42DA"/>
    <w:rsid w:val="008B1601"/>
    <w:rsid w:val="008B1BB6"/>
    <w:rsid w:val="008C2760"/>
    <w:rsid w:val="008C696F"/>
    <w:rsid w:val="008C7D21"/>
    <w:rsid w:val="008D1C0A"/>
    <w:rsid w:val="008D3A0B"/>
    <w:rsid w:val="008D563A"/>
    <w:rsid w:val="008D7952"/>
    <w:rsid w:val="008E1241"/>
    <w:rsid w:val="008E3341"/>
    <w:rsid w:val="00903CD4"/>
    <w:rsid w:val="00904767"/>
    <w:rsid w:val="00915CDF"/>
    <w:rsid w:val="00915D56"/>
    <w:rsid w:val="00922576"/>
    <w:rsid w:val="00934975"/>
    <w:rsid w:val="00945C38"/>
    <w:rsid w:val="0094626D"/>
    <w:rsid w:val="0095040E"/>
    <w:rsid w:val="00951553"/>
    <w:rsid w:val="00954C31"/>
    <w:rsid w:val="00964608"/>
    <w:rsid w:val="009770C6"/>
    <w:rsid w:val="009829F2"/>
    <w:rsid w:val="0099192C"/>
    <w:rsid w:val="009970FE"/>
    <w:rsid w:val="009A1D17"/>
    <w:rsid w:val="009A789C"/>
    <w:rsid w:val="009B50A3"/>
    <w:rsid w:val="009B5BE7"/>
    <w:rsid w:val="009C2CF4"/>
    <w:rsid w:val="009C517C"/>
    <w:rsid w:val="009D1FD6"/>
    <w:rsid w:val="009D207C"/>
    <w:rsid w:val="009D5F8A"/>
    <w:rsid w:val="009E0E15"/>
    <w:rsid w:val="009E7605"/>
    <w:rsid w:val="009E7826"/>
    <w:rsid w:val="009F2BC5"/>
    <w:rsid w:val="009F6661"/>
    <w:rsid w:val="00A013D7"/>
    <w:rsid w:val="00A0164C"/>
    <w:rsid w:val="00A0719C"/>
    <w:rsid w:val="00A12B73"/>
    <w:rsid w:val="00A141DB"/>
    <w:rsid w:val="00A24493"/>
    <w:rsid w:val="00A25DFB"/>
    <w:rsid w:val="00A3213F"/>
    <w:rsid w:val="00A32C24"/>
    <w:rsid w:val="00A332F6"/>
    <w:rsid w:val="00A362B9"/>
    <w:rsid w:val="00A453E3"/>
    <w:rsid w:val="00A46A19"/>
    <w:rsid w:val="00A475EB"/>
    <w:rsid w:val="00A47FCE"/>
    <w:rsid w:val="00A560B8"/>
    <w:rsid w:val="00A6026D"/>
    <w:rsid w:val="00A60B1B"/>
    <w:rsid w:val="00A62AA8"/>
    <w:rsid w:val="00A65F32"/>
    <w:rsid w:val="00A66D24"/>
    <w:rsid w:val="00A74F10"/>
    <w:rsid w:val="00A75D98"/>
    <w:rsid w:val="00A803C2"/>
    <w:rsid w:val="00A859B3"/>
    <w:rsid w:val="00A9289C"/>
    <w:rsid w:val="00AA1649"/>
    <w:rsid w:val="00AA3017"/>
    <w:rsid w:val="00AA68A6"/>
    <w:rsid w:val="00AB02C1"/>
    <w:rsid w:val="00AB0DBC"/>
    <w:rsid w:val="00AC0D21"/>
    <w:rsid w:val="00AC56F2"/>
    <w:rsid w:val="00AC67E1"/>
    <w:rsid w:val="00AD7CEF"/>
    <w:rsid w:val="00AE0D19"/>
    <w:rsid w:val="00B00E43"/>
    <w:rsid w:val="00B155E2"/>
    <w:rsid w:val="00B1694C"/>
    <w:rsid w:val="00B27AA7"/>
    <w:rsid w:val="00B35344"/>
    <w:rsid w:val="00B37A1E"/>
    <w:rsid w:val="00B4445E"/>
    <w:rsid w:val="00B450D8"/>
    <w:rsid w:val="00B56A66"/>
    <w:rsid w:val="00B71564"/>
    <w:rsid w:val="00B776D7"/>
    <w:rsid w:val="00B811D8"/>
    <w:rsid w:val="00B82DF4"/>
    <w:rsid w:val="00B906A3"/>
    <w:rsid w:val="00B92D20"/>
    <w:rsid w:val="00B974E0"/>
    <w:rsid w:val="00BA05B3"/>
    <w:rsid w:val="00BA0F84"/>
    <w:rsid w:val="00BA195A"/>
    <w:rsid w:val="00BB073A"/>
    <w:rsid w:val="00BB3997"/>
    <w:rsid w:val="00BB5874"/>
    <w:rsid w:val="00BD098E"/>
    <w:rsid w:val="00BE4EFA"/>
    <w:rsid w:val="00BF19B5"/>
    <w:rsid w:val="00BF6DBF"/>
    <w:rsid w:val="00BF704B"/>
    <w:rsid w:val="00BF7522"/>
    <w:rsid w:val="00C015BC"/>
    <w:rsid w:val="00C13E18"/>
    <w:rsid w:val="00C15597"/>
    <w:rsid w:val="00C222DA"/>
    <w:rsid w:val="00C22BF6"/>
    <w:rsid w:val="00C2521C"/>
    <w:rsid w:val="00C3325D"/>
    <w:rsid w:val="00C47161"/>
    <w:rsid w:val="00C54370"/>
    <w:rsid w:val="00C65AAF"/>
    <w:rsid w:val="00C74BF1"/>
    <w:rsid w:val="00C76861"/>
    <w:rsid w:val="00C85322"/>
    <w:rsid w:val="00C959BC"/>
    <w:rsid w:val="00CA07C9"/>
    <w:rsid w:val="00CA343D"/>
    <w:rsid w:val="00CA4E1D"/>
    <w:rsid w:val="00CB0AB8"/>
    <w:rsid w:val="00CC7ED4"/>
    <w:rsid w:val="00CE0279"/>
    <w:rsid w:val="00CE19DD"/>
    <w:rsid w:val="00CE46A0"/>
    <w:rsid w:val="00CE4BC5"/>
    <w:rsid w:val="00CE6F42"/>
    <w:rsid w:val="00CE7111"/>
    <w:rsid w:val="00CE7A2A"/>
    <w:rsid w:val="00D006FB"/>
    <w:rsid w:val="00D02733"/>
    <w:rsid w:val="00D16330"/>
    <w:rsid w:val="00D20E6D"/>
    <w:rsid w:val="00D21A85"/>
    <w:rsid w:val="00D2354D"/>
    <w:rsid w:val="00D25264"/>
    <w:rsid w:val="00D36EF9"/>
    <w:rsid w:val="00D4277A"/>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20C"/>
    <w:rsid w:val="00E379A7"/>
    <w:rsid w:val="00E41DAA"/>
    <w:rsid w:val="00E5642A"/>
    <w:rsid w:val="00E6359A"/>
    <w:rsid w:val="00E652B8"/>
    <w:rsid w:val="00E672F5"/>
    <w:rsid w:val="00E70CEF"/>
    <w:rsid w:val="00E74E85"/>
    <w:rsid w:val="00E92DAA"/>
    <w:rsid w:val="00E97E4C"/>
    <w:rsid w:val="00EA1AD3"/>
    <w:rsid w:val="00EA3F75"/>
    <w:rsid w:val="00EB096A"/>
    <w:rsid w:val="00EB5DD1"/>
    <w:rsid w:val="00EB72EF"/>
    <w:rsid w:val="00EC351B"/>
    <w:rsid w:val="00ED174F"/>
    <w:rsid w:val="00ED7227"/>
    <w:rsid w:val="00EE6379"/>
    <w:rsid w:val="00EF70E6"/>
    <w:rsid w:val="00EF7559"/>
    <w:rsid w:val="00EF7A00"/>
    <w:rsid w:val="00F015BD"/>
    <w:rsid w:val="00F01C17"/>
    <w:rsid w:val="00F036AA"/>
    <w:rsid w:val="00F110A0"/>
    <w:rsid w:val="00F174E8"/>
    <w:rsid w:val="00F205F7"/>
    <w:rsid w:val="00F21415"/>
    <w:rsid w:val="00F30767"/>
    <w:rsid w:val="00F32E1B"/>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C12E7"/>
    <w:rsid w:val="00FD24C8"/>
    <w:rsid w:val="00FE1473"/>
    <w:rsid w:val="00FE1BDB"/>
    <w:rsid w:val="00FE3746"/>
    <w:rsid w:val="00FE445F"/>
    <w:rsid w:val="00FF5137"/>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2.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4.xml><?xml version="1.0" encoding="utf-8"?>
<ds:datastoreItem xmlns:ds="http://schemas.openxmlformats.org/officeDocument/2006/customXml" ds:itemID="{78175024-5DAF-4A82-9C17-26E2163893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981</TotalTime>
  <Pages>3</Pages>
  <Words>1812</Words>
  <Characters>10331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Thiago Oliveira</cp:lastModifiedBy>
  <cp:revision>274</cp:revision>
  <dcterms:created xsi:type="dcterms:W3CDTF">2024-04-16T13:23:00Z</dcterms:created>
  <dcterms:modified xsi:type="dcterms:W3CDTF">2026-06-08T16:33:00Z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