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0C117770" w:rsidR="00237870" w:rsidRDefault="007A2ED2" w:rsidP="00237870">
      <w:pPr>
        <w:spacing w:after="120" w:line="240" w:lineRule="auto"/>
        <w:rPr>
          <w:rFonts w:ascii="Garamond" w:hAnsi="Garamond"/>
        </w:rPr>
      </w:pPr>
      <w:r>
        <w:rPr>
          <w:rFonts w:ascii="Garamond" w:hAnsi="Garamond"/>
        </w:rPr>
        <w:t>1</w:t>
      </w:r>
      <w:r w:rsidR="003461D5">
        <w:rPr>
          <w:rFonts w:ascii="Garamond" w:hAnsi="Garamond"/>
        </w:rPr>
        <w:t xml:space="preserve"> </w:t>
      </w:r>
      <w:r w:rsidR="007B77EE">
        <w:rPr>
          <w:rFonts w:ascii="Garamond" w:hAnsi="Garamond"/>
        </w:rPr>
        <w:t>March</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4CBD3978" w:rsidR="007B77EE" w:rsidRDefault="007B77EE" w:rsidP="00CE0279">
      <w:pPr>
        <w:spacing w:after="120" w:line="240" w:lineRule="auto"/>
        <w:rPr>
          <w:rFonts w:ascii="Garamond" w:hAnsi="Garamond"/>
        </w:rPr>
      </w:pPr>
      <w:r w:rsidRPr="007B77EE">
        <w:rPr>
          <w:rFonts w:ascii="Garamond" w:hAnsi="Garamond"/>
        </w:rPr>
        <w:t xml:space="preserve">Thiago Oliveira and I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7D1D20C4" w14:textId="1A8E0848" w:rsidR="00AC56F2" w:rsidRDefault="008D3A0B" w:rsidP="00AC56F2">
      <w:pPr>
        <w:spacing w:after="120" w:line="240" w:lineRule="auto"/>
        <w:rPr>
          <w:rFonts w:ascii="Garamond" w:hAnsi="Garamond"/>
        </w:rPr>
      </w:pPr>
      <w:r>
        <w:rPr>
          <w:rFonts w:ascii="Garamond" w:hAnsi="Garamond"/>
        </w:rPr>
        <w:t>TO DO:</w:t>
      </w:r>
      <w:r w:rsidR="00F61F0C">
        <w:rPr>
          <w:rFonts w:ascii="Garamond" w:hAnsi="Garamond"/>
        </w:rPr>
        <w:t xml:space="preserve"> </w:t>
      </w:r>
      <w:r w:rsidR="00F61F0C" w:rsidRPr="003D68F4">
        <w:rPr>
          <w:rFonts w:ascii="Garamond" w:hAnsi="Garamond"/>
          <w:b/>
          <w:bCs/>
        </w:rPr>
        <w:t>CCL</w:t>
      </w:r>
    </w:p>
    <w:p w14:paraId="31F02F17" w14:textId="7D94CB26" w:rsidR="0076191C" w:rsidRDefault="000C6964" w:rsidP="008D3A0B">
      <w:pPr>
        <w:pStyle w:val="ListParagraph"/>
        <w:numPr>
          <w:ilvl w:val="0"/>
          <w:numId w:val="8"/>
        </w:numPr>
        <w:spacing w:after="120" w:line="240" w:lineRule="auto"/>
        <w:rPr>
          <w:rFonts w:ascii="Garamond" w:hAnsi="Garamond"/>
        </w:rPr>
      </w:pPr>
      <w:r>
        <w:rPr>
          <w:rFonts w:ascii="Garamond" w:hAnsi="Garamond"/>
        </w:rPr>
        <w:t xml:space="preserve">CCL: </w:t>
      </w:r>
      <w:r w:rsidR="0076191C">
        <w:rPr>
          <w:rFonts w:ascii="Garamond" w:hAnsi="Garamond"/>
        </w:rPr>
        <w:t xml:space="preserve">I am a bit resistant to spending too much time discussing </w:t>
      </w:r>
      <w:r w:rsidR="00E16797">
        <w:rPr>
          <w:rFonts w:ascii="Garamond" w:hAnsi="Garamond"/>
        </w:rPr>
        <w:t>empirical</w:t>
      </w:r>
      <w:r w:rsidR="0076191C">
        <w:rPr>
          <w:rFonts w:ascii="Garamond" w:hAnsi="Garamond"/>
        </w:rPr>
        <w:t xml:space="preserve"> literature</w:t>
      </w:r>
      <w:r w:rsidR="00E16797">
        <w:rPr>
          <w:rFonts w:ascii="Garamond" w:hAnsi="Garamond"/>
        </w:rPr>
        <w:t xml:space="preserve"> on these topics</w:t>
      </w:r>
      <w:r w:rsidR="0076191C">
        <w:rPr>
          <w:rFonts w:ascii="Garamond" w:hAnsi="Garamond"/>
        </w:rPr>
        <w:t>; we’re using these examples to contextualize methods no</w:t>
      </w:r>
      <w:r w:rsidR="00951553">
        <w:rPr>
          <w:rFonts w:ascii="Garamond" w:hAnsi="Garamond"/>
        </w:rPr>
        <w:t>t focus on methodological problems in these specific literatures.</w:t>
      </w:r>
      <w:r w:rsidR="00EB096A">
        <w:rPr>
          <w:rFonts w:ascii="Garamond" w:hAnsi="Garamond"/>
        </w:rPr>
        <w:t xml:space="preserve"> </w:t>
      </w:r>
      <w:r w:rsidR="00D7717F">
        <w:rPr>
          <w:rFonts w:ascii="Garamond" w:hAnsi="Garamond"/>
        </w:rPr>
        <w:t>We</w:t>
      </w:r>
      <w:r w:rsidR="00E6359A">
        <w:rPr>
          <w:rFonts w:ascii="Garamond" w:hAnsi="Garamond"/>
        </w:rPr>
        <w:t xml:space="preserve"> are not even trying to motivate readers to </w:t>
      </w:r>
      <w:r w:rsidR="00D7717F">
        <w:rPr>
          <w:rFonts w:ascii="Garamond" w:hAnsi="Garamond"/>
        </w:rPr>
        <w:t xml:space="preserve">be </w:t>
      </w:r>
      <w:r w:rsidR="00E6359A">
        <w:rPr>
          <w:rFonts w:ascii="Garamond" w:hAnsi="Garamond"/>
        </w:rPr>
        <w:t xml:space="preserve">concerned with reciprocality. We’re targeting people </w:t>
      </w:r>
      <w:r w:rsidR="00CC7ED4">
        <w:rPr>
          <w:rFonts w:ascii="Garamond" w:hAnsi="Garamond"/>
        </w:rPr>
        <w:t xml:space="preserve">already worried about or </w:t>
      </w:r>
      <w:r w:rsidR="00E6359A">
        <w:rPr>
          <w:rFonts w:ascii="Garamond" w:hAnsi="Garamond"/>
        </w:rPr>
        <w:t xml:space="preserve">interested in reciprocality </w:t>
      </w:r>
      <w:r w:rsidR="003A49B9">
        <w:rPr>
          <w:rFonts w:ascii="Garamond" w:hAnsi="Garamond"/>
        </w:rPr>
        <w:t>and who want to d</w:t>
      </w:r>
      <w:r w:rsidR="00A803C2">
        <w:rPr>
          <w:rFonts w:ascii="Garamond" w:hAnsi="Garamond"/>
        </w:rPr>
        <w:t>eal with</w:t>
      </w:r>
      <w:r w:rsidR="003A49B9">
        <w:rPr>
          <w:rFonts w:ascii="Garamond" w:hAnsi="Garamond"/>
        </w:rPr>
        <w:t xml:space="preserve"> it correctly. </w:t>
      </w:r>
    </w:p>
    <w:p w14:paraId="18C06366" w14:textId="4FCE21B6" w:rsidR="008D3A0B" w:rsidRDefault="005A285D" w:rsidP="008D3A0B">
      <w:pPr>
        <w:pStyle w:val="ListParagraph"/>
        <w:numPr>
          <w:ilvl w:val="0"/>
          <w:numId w:val="8"/>
        </w:numPr>
        <w:spacing w:after="120" w:line="240" w:lineRule="auto"/>
        <w:rPr>
          <w:rFonts w:ascii="Garamond" w:hAnsi="Garamond"/>
        </w:rPr>
      </w:pPr>
      <w:r>
        <w:rPr>
          <w:rFonts w:ascii="Garamond" w:hAnsi="Garamond"/>
        </w:rPr>
        <w:t>Expand lit on c</w:t>
      </w:r>
      <w:r w:rsidR="00491BA7">
        <w:rPr>
          <w:rFonts w:ascii="Garamond" w:hAnsi="Garamond"/>
        </w:rPr>
        <w:t>rime and work: job loss; effects of ignoring reciprocality</w:t>
      </w:r>
    </w:p>
    <w:p w14:paraId="34F61F6B" w14:textId="272C2DDA" w:rsidR="00A3213F" w:rsidRDefault="00BB3997" w:rsidP="00A3213F">
      <w:pPr>
        <w:pStyle w:val="ListParagraph"/>
        <w:numPr>
          <w:ilvl w:val="1"/>
          <w:numId w:val="8"/>
        </w:numPr>
        <w:spacing w:after="120" w:line="240" w:lineRule="auto"/>
        <w:rPr>
          <w:rFonts w:ascii="Garamond" w:hAnsi="Garamond"/>
        </w:rPr>
      </w:pPr>
      <w:commentRangeStart w:id="0"/>
      <w:r>
        <w:rPr>
          <w:rFonts w:ascii="Garamond" w:hAnsi="Garamond"/>
        </w:rPr>
        <w:t>CCL</w:t>
      </w:r>
      <w:r w:rsidR="00A3213F">
        <w:rPr>
          <w:rFonts w:ascii="Garamond" w:hAnsi="Garamond"/>
        </w:rPr>
        <w:t xml:space="preserve">: </w:t>
      </w:r>
      <w:commentRangeEnd w:id="0"/>
      <w:r w:rsidR="0046763E">
        <w:rPr>
          <w:rStyle w:val="CommentReference"/>
          <w:rFonts w:ascii="Garamond" w:hAnsi="Garamond"/>
          <w:sz w:val="22"/>
          <w:szCs w:val="22"/>
        </w:rPr>
        <w:commentReference w:id="0"/>
      </w:r>
      <w:r w:rsidR="00A3213F">
        <w:rPr>
          <w:rFonts w:ascii="Garamond" w:hAnsi="Garamond"/>
        </w:rPr>
        <w:t xml:space="preserve">Consider </w:t>
      </w:r>
      <w:r w:rsidR="005205BC">
        <w:rPr>
          <w:rFonts w:ascii="Garamond" w:hAnsi="Garamond"/>
        </w:rPr>
        <w:t xml:space="preserve">ways people tried to get around reciprocality other than CLPMs, e.g., </w:t>
      </w:r>
      <w:r w:rsidR="00A3213F">
        <w:rPr>
          <w:rFonts w:ascii="Garamond" w:hAnsi="Garamond"/>
        </w:rPr>
        <w:t>classic experimental work on work and offending</w:t>
      </w:r>
      <w:r w:rsidR="005205BC">
        <w:rPr>
          <w:rFonts w:ascii="Garamond" w:hAnsi="Garamond"/>
        </w:rPr>
        <w:t xml:space="preserve"> like</w:t>
      </w:r>
      <w:r w:rsidR="00A3213F">
        <w:rPr>
          <w:rFonts w:ascii="Garamond" w:hAnsi="Garamond"/>
        </w:rPr>
        <w:t xml:space="preserve"> </w:t>
      </w:r>
      <w:r w:rsidR="00F335D8">
        <w:rPr>
          <w:rFonts w:ascii="Garamond" w:hAnsi="Garamond"/>
        </w:rPr>
        <w:t xml:space="preserve">Rossi et al.’s </w:t>
      </w:r>
      <w:r w:rsidR="00A3213F">
        <w:rPr>
          <w:rFonts w:ascii="Garamond" w:hAnsi="Garamond"/>
        </w:rPr>
        <w:t>TARP</w:t>
      </w:r>
      <w:r w:rsidR="00F335D8">
        <w:rPr>
          <w:rFonts w:ascii="Garamond" w:hAnsi="Garamond"/>
        </w:rPr>
        <w:t xml:space="preserve"> in the 1970s</w:t>
      </w:r>
      <w:r w:rsidR="00A3213F">
        <w:rPr>
          <w:rFonts w:ascii="Garamond" w:hAnsi="Garamond"/>
        </w:rPr>
        <w:t>.</w:t>
      </w:r>
      <w:r w:rsidR="005205BC">
        <w:rPr>
          <w:rFonts w:ascii="Garamond" w:hAnsi="Garamond"/>
        </w:rPr>
        <w:t xml:space="preserve"> Also IV work?</w:t>
      </w:r>
      <w:r w:rsidR="00EB72EF">
        <w:rPr>
          <w:rFonts w:ascii="Garamond" w:hAnsi="Garamond"/>
        </w:rPr>
        <w:t xml:space="preserve"> IV work will prob show effects of ignoring reciprocality.</w:t>
      </w:r>
    </w:p>
    <w:p w14:paraId="5A9FD102" w14:textId="288E9AA8" w:rsidR="00EC351B" w:rsidRDefault="005A285D" w:rsidP="008D3A0B">
      <w:pPr>
        <w:pStyle w:val="ListParagraph"/>
        <w:numPr>
          <w:ilvl w:val="0"/>
          <w:numId w:val="8"/>
        </w:numPr>
        <w:spacing w:after="120" w:line="240" w:lineRule="auto"/>
        <w:rPr>
          <w:rFonts w:ascii="Garamond" w:hAnsi="Garamond"/>
        </w:rPr>
      </w:pPr>
      <w:r>
        <w:rPr>
          <w:rFonts w:ascii="Garamond" w:hAnsi="Garamond"/>
        </w:rPr>
        <w:t>Expand lit on d</w:t>
      </w:r>
      <w:r w:rsidR="00EC351B">
        <w:rPr>
          <w:rFonts w:ascii="Garamond" w:hAnsi="Garamond"/>
        </w:rPr>
        <w:t>isorder and fear: Past work with or without CLPMs; momentary measures.</w:t>
      </w:r>
    </w:p>
    <w:p w14:paraId="469CC609" w14:textId="4556BD61" w:rsidR="00584DE1" w:rsidRPr="008D3A0B" w:rsidRDefault="00584DE1" w:rsidP="00584DE1">
      <w:pPr>
        <w:pStyle w:val="ListParagraph"/>
        <w:numPr>
          <w:ilvl w:val="1"/>
          <w:numId w:val="8"/>
        </w:numPr>
        <w:spacing w:after="120" w:line="240" w:lineRule="auto"/>
        <w:rPr>
          <w:rFonts w:ascii="Garamond" w:hAnsi="Garamond"/>
        </w:rPr>
      </w:pPr>
      <w:r>
        <w:rPr>
          <w:rFonts w:ascii="Garamond" w:hAnsi="Garamond"/>
        </w:rPr>
        <w:t>CCL: Lots here I am familiar with including what we cite in paper but can elaborate on.</w:t>
      </w:r>
      <w:r w:rsidR="008268F3">
        <w:rPr>
          <w:rFonts w:ascii="Garamond" w:hAnsi="Garamond"/>
        </w:rPr>
        <w:t xml:space="preserve"> Can perhaps </w:t>
      </w:r>
      <w:r w:rsidR="00BB3997">
        <w:rPr>
          <w:rFonts w:ascii="Garamond" w:hAnsi="Garamond"/>
        </w:rPr>
        <w:t xml:space="preserve">gently </w:t>
      </w:r>
      <w:r w:rsidR="008268F3">
        <w:rPr>
          <w:rFonts w:ascii="Garamond" w:hAnsi="Garamond"/>
        </w:rPr>
        <w:t>critique the disorder / fear annual review as not considering reciprocality.</w:t>
      </w:r>
      <w:r>
        <w:rPr>
          <w:rFonts w:ascii="Garamond" w:hAnsi="Garamond"/>
        </w:rPr>
        <w:t xml:space="preserve"> </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lastRenderedPageBreak/>
        <w:t>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The authors should perhaps reflect on whether (theoretically) this is merely something to be accounted for in the model. More connection with desistance research can perhaps help here.</w:t>
      </w:r>
    </w:p>
    <w:p w14:paraId="0F03C83B" w14:textId="2F1FAFB3" w:rsidR="0026639C" w:rsidRPr="0082689B" w:rsidRDefault="008B1601" w:rsidP="0082689B">
      <w:pPr>
        <w:spacing w:after="120" w:line="240" w:lineRule="auto"/>
        <w:rPr>
          <w:rFonts w:ascii="Garamond" w:hAnsi="Garamond"/>
        </w:rPr>
      </w:pPr>
      <w:r>
        <w:rPr>
          <w:rFonts w:ascii="Garamond" w:hAnsi="Garamond"/>
        </w:rPr>
        <w:t>We agree that it is inaccurate to state that theoretical reciprocality is not of substantive interest to most criminologists; we have edited this</w:t>
      </w:r>
      <w:r w:rsidR="0082689B">
        <w:rPr>
          <w:rFonts w:ascii="Garamond" w:hAnsi="Garamond"/>
        </w:rPr>
        <w:t xml:space="preserve"> section</w:t>
      </w:r>
      <w:r>
        <w:rPr>
          <w:rFonts w:ascii="Garamond" w:hAnsi="Garamond"/>
        </w:rPr>
        <w:t xml:space="preserve"> to emphasize that, like estimands, </w:t>
      </w:r>
      <w:r w:rsidR="009F2BC5">
        <w:rPr>
          <w:rFonts w:ascii="Garamond" w:hAnsi="Garamond"/>
        </w:rPr>
        <w:t>viewing any given reciprocality as reverse causality or theoretical reciprocality is a choice linked to theory and research questions.</w:t>
      </w: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6896AD07" w14:textId="7B4A5167" w:rsidR="00AC56F2" w:rsidRPr="003D68F4" w:rsidRDefault="00041985" w:rsidP="00AC56F2">
      <w:pPr>
        <w:spacing w:after="120" w:line="240" w:lineRule="auto"/>
        <w:rPr>
          <w:rFonts w:ascii="Garamond" w:hAnsi="Garamond"/>
          <w:b/>
          <w:bCs/>
        </w:rPr>
      </w:pPr>
      <w:r>
        <w:rPr>
          <w:rFonts w:ascii="Garamond" w:hAnsi="Garamond"/>
        </w:rPr>
        <w:t>TO DO:</w:t>
      </w:r>
      <w:r w:rsidR="003D68F4">
        <w:rPr>
          <w:rFonts w:ascii="Garamond" w:hAnsi="Garamond"/>
        </w:rPr>
        <w:t xml:space="preserve"> </w:t>
      </w:r>
      <w:r w:rsidR="003D68F4">
        <w:rPr>
          <w:rFonts w:ascii="Garamond" w:hAnsi="Garamond"/>
          <w:b/>
          <w:bCs/>
        </w:rPr>
        <w:t>CCL</w:t>
      </w:r>
      <w:r w:rsidR="00520B45">
        <w:rPr>
          <w:rFonts w:ascii="Garamond" w:hAnsi="Garamond"/>
          <w:b/>
          <w:bCs/>
        </w:rPr>
        <w:t xml:space="preserve"> take a stab</w:t>
      </w:r>
    </w:p>
    <w:p w14:paraId="5CF509F0" w14:textId="00A9FE25" w:rsidR="00466718" w:rsidRDefault="00FD24C8" w:rsidP="00041985">
      <w:pPr>
        <w:pStyle w:val="ListParagraph"/>
        <w:numPr>
          <w:ilvl w:val="0"/>
          <w:numId w:val="8"/>
        </w:numPr>
        <w:spacing w:after="120" w:line="240" w:lineRule="auto"/>
        <w:rPr>
          <w:rFonts w:ascii="Garamond" w:hAnsi="Garamond"/>
        </w:rPr>
      </w:pPr>
      <w:r>
        <w:rPr>
          <w:rFonts w:ascii="Garamond" w:hAnsi="Garamond"/>
        </w:rPr>
        <w:t xml:space="preserve">The substantive examples here are meant to serve as illustrations for the methodological considerations rather than as a focus of the paper. As a result, we have instead broadened the </w:t>
      </w:r>
      <w:r w:rsidR="00BF704B">
        <w:rPr>
          <w:rFonts w:ascii="Garamond" w:hAnsi="Garamond"/>
        </w:rPr>
        <w:t>discussion of</w:t>
      </w:r>
      <w:r>
        <w:rPr>
          <w:rFonts w:ascii="Garamond" w:hAnsi="Garamond"/>
        </w:rPr>
        <w:t xml:space="preserve"> crime -&gt; employment effects to </w:t>
      </w:r>
      <w:r w:rsidR="00BB073A">
        <w:rPr>
          <w:rFonts w:ascii="Garamond" w:hAnsi="Garamond"/>
        </w:rPr>
        <w:t xml:space="preserve">include </w:t>
      </w:r>
      <w:r w:rsidR="00BA0F84">
        <w:rPr>
          <w:rFonts w:ascii="Garamond" w:hAnsi="Garamond"/>
        </w:rPr>
        <w:t>substitution</w:t>
      </w:r>
      <w:r w:rsidR="00BE4EFA">
        <w:rPr>
          <w:rFonts w:ascii="Garamond" w:hAnsi="Garamond"/>
        </w:rPr>
        <w:t xml:space="preserve">, human capital, and job acquisition to </w:t>
      </w:r>
      <w:r w:rsidR="002369EB">
        <w:rPr>
          <w:rFonts w:ascii="Garamond" w:hAnsi="Garamond"/>
        </w:rPr>
        <w:t xml:space="preserve">avoid dwelling on </w:t>
      </w:r>
      <w:r w:rsidR="0063197B">
        <w:rPr>
          <w:rFonts w:ascii="Garamond" w:hAnsi="Garamond"/>
        </w:rPr>
        <w:t>job loss</w:t>
      </w:r>
      <w:r w:rsidR="00964608">
        <w:rPr>
          <w:rFonts w:ascii="Garamond" w:hAnsi="Garamond"/>
        </w:rPr>
        <w:t>.</w:t>
      </w:r>
    </w:p>
    <w:p w14:paraId="6169CB56" w14:textId="12CBD262" w:rsidR="00603BD2" w:rsidRDefault="00603BD2" w:rsidP="00603BD2">
      <w:pPr>
        <w:pStyle w:val="ListParagraph"/>
        <w:numPr>
          <w:ilvl w:val="1"/>
          <w:numId w:val="8"/>
        </w:numPr>
        <w:spacing w:after="120" w:line="240" w:lineRule="auto"/>
        <w:rPr>
          <w:rFonts w:ascii="Garamond" w:hAnsi="Garamond"/>
        </w:rPr>
      </w:pPr>
      <w:r>
        <w:rPr>
          <w:rFonts w:ascii="Garamond" w:hAnsi="Garamond"/>
        </w:rPr>
        <w:t xml:space="preserve">Actually, the more I think about it, I have no idea why they are concerned about the discrete event. It is just a binary treatment like </w:t>
      </w:r>
      <w:r w:rsidR="007F24A3">
        <w:rPr>
          <w:rFonts w:ascii="Garamond" w:hAnsi="Garamond"/>
        </w:rPr>
        <w:t>other life course transitions.</w:t>
      </w:r>
      <w:r w:rsidR="00354704">
        <w:rPr>
          <w:rFonts w:ascii="Garamond" w:hAnsi="Garamond"/>
        </w:rPr>
        <w:t xml:space="preserve"> Is their concern it probably can only happen once in a period?</w:t>
      </w:r>
    </w:p>
    <w:p w14:paraId="26070BA1" w14:textId="57A8F327" w:rsidR="008A42DA" w:rsidRPr="00463247" w:rsidRDefault="008A42DA" w:rsidP="008A42DA">
      <w:pPr>
        <w:pStyle w:val="ListParagraph"/>
        <w:numPr>
          <w:ilvl w:val="0"/>
          <w:numId w:val="8"/>
        </w:numPr>
        <w:spacing w:after="120" w:line="240" w:lineRule="auto"/>
        <w:rPr>
          <w:rFonts w:ascii="Garamond" w:hAnsi="Garamond"/>
        </w:rPr>
      </w:pPr>
      <w:r>
        <w:rPr>
          <w:rFonts w:ascii="Garamond" w:hAnsi="Garamond"/>
        </w:rPr>
        <w:t xml:space="preserve">That said, </w:t>
      </w:r>
      <w:r w:rsidR="002A77D0">
        <w:rPr>
          <w:rFonts w:ascii="Garamond" w:hAnsi="Garamond"/>
        </w:rPr>
        <w:t>we would argue that it is</w:t>
      </w:r>
      <w:r>
        <w:rPr>
          <w:rFonts w:ascii="Garamond" w:hAnsi="Garamond"/>
        </w:rPr>
        <w:t xml:space="preserve"> theory and measurement that determines whether job loss as a discrete event is problematic or not in any given analysis.</w:t>
      </w:r>
      <w:r w:rsidR="00A75D98">
        <w:rPr>
          <w:rFonts w:ascii="Garamond" w:hAnsi="Garamond"/>
        </w:rPr>
        <w:t xml:space="preserve"> </w:t>
      </w:r>
      <w:r w:rsidR="004E5439">
        <w:rPr>
          <w:rFonts w:ascii="Garamond" w:hAnsi="Garamond"/>
        </w:rPr>
        <w:t xml:space="preserve">If employment is believe to impact offending through occupied time (i.e., a contemporaneous effect), </w:t>
      </w:r>
      <w:r w:rsidR="00FE1473">
        <w:rPr>
          <w:rFonts w:ascii="Garamond" w:hAnsi="Garamond"/>
        </w:rPr>
        <w:t>it</w:t>
      </w:r>
      <w:r w:rsidR="00C54370">
        <w:rPr>
          <w:rFonts w:ascii="Garamond" w:hAnsi="Garamond"/>
        </w:rPr>
        <w:t xml:space="preserve"> raises </w:t>
      </w:r>
      <w:r w:rsidR="00FE1473">
        <w:rPr>
          <w:rFonts w:ascii="Garamond" w:hAnsi="Garamond"/>
        </w:rPr>
        <w:t xml:space="preserve">the </w:t>
      </w:r>
      <w:r w:rsidR="00C54370">
        <w:rPr>
          <w:rFonts w:ascii="Garamond" w:hAnsi="Garamond"/>
        </w:rPr>
        <w:t>composite period variable problems we discuss</w:t>
      </w:r>
      <w:r w:rsidR="00A60B1B">
        <w:rPr>
          <w:rFonts w:ascii="Garamond" w:hAnsi="Garamond"/>
        </w:rPr>
        <w:t xml:space="preserve">, </w:t>
      </w:r>
      <w:r w:rsidR="003E4DCA">
        <w:rPr>
          <w:rFonts w:ascii="Garamond" w:hAnsi="Garamond"/>
        </w:rPr>
        <w:t xml:space="preserve">but with sufficient granularity (e.g., daily) it would reduce to a simple binary treatment </w:t>
      </w:r>
      <w:r w:rsidR="001225DA">
        <w:rPr>
          <w:rFonts w:ascii="Garamond" w:hAnsi="Garamond"/>
        </w:rPr>
        <w:t>in any given time period</w:t>
      </w:r>
      <w:r w:rsidR="001225DA">
        <w:rPr>
          <w:rFonts w:ascii="Garamond" w:hAnsi="Garamond"/>
        </w:rPr>
        <w:t xml:space="preserve"> that is </w:t>
      </w:r>
      <w:r w:rsidR="00286529">
        <w:rPr>
          <w:rFonts w:ascii="Garamond" w:hAnsi="Garamond"/>
        </w:rPr>
        <w:t>amenable to a conventional CLPM.</w:t>
      </w:r>
    </w:p>
    <w:p w14:paraId="2093C534" w14:textId="77777777" w:rsidR="005D2B9D" w:rsidRDefault="00F33FCA" w:rsidP="00F33FCA">
      <w:pPr>
        <w:pStyle w:val="ListParagraph"/>
        <w:numPr>
          <w:ilvl w:val="0"/>
          <w:numId w:val="8"/>
        </w:numPr>
        <w:spacing w:after="120" w:line="240" w:lineRule="auto"/>
        <w:rPr>
          <w:rFonts w:ascii="Garamond" w:hAnsi="Garamond"/>
        </w:rPr>
      </w:pPr>
      <w:r>
        <w:rPr>
          <w:rFonts w:ascii="Garamond" w:hAnsi="Garamond"/>
        </w:rPr>
        <w:t>CCL: Did some text tweaks and a</w:t>
      </w:r>
      <w:r w:rsidR="005D2B9D">
        <w:rPr>
          <w:rFonts w:ascii="Garamond" w:hAnsi="Garamond"/>
        </w:rPr>
        <w:t>dded</w:t>
      </w:r>
      <w:r>
        <w:rPr>
          <w:rFonts w:ascii="Garamond" w:hAnsi="Garamond"/>
        </w:rPr>
        <w:t xml:space="preserve"> ref</w:t>
      </w:r>
      <w:r w:rsidR="005D2B9D">
        <w:rPr>
          <w:rFonts w:ascii="Garamond" w:hAnsi="Garamond"/>
        </w:rPr>
        <w:t>s</w:t>
      </w:r>
      <w:r>
        <w:rPr>
          <w:rFonts w:ascii="Garamond" w:hAnsi="Garamond"/>
        </w:rPr>
        <w:t xml:space="preserve"> to</w:t>
      </w:r>
      <w:r w:rsidR="005D2B9D">
        <w:rPr>
          <w:rFonts w:ascii="Garamond" w:hAnsi="Garamond"/>
        </w:rPr>
        <w:t>:</w:t>
      </w:r>
    </w:p>
    <w:p w14:paraId="563BA2F0" w14:textId="44AD8B48" w:rsidR="00F33FCA" w:rsidRDefault="00F33FCA" w:rsidP="005D2B9D">
      <w:pPr>
        <w:pStyle w:val="ListParagraph"/>
        <w:numPr>
          <w:ilvl w:val="1"/>
          <w:numId w:val="8"/>
        </w:numPr>
        <w:spacing w:after="120" w:line="240" w:lineRule="auto"/>
        <w:rPr>
          <w:rFonts w:ascii="Garamond" w:hAnsi="Garamond"/>
        </w:rPr>
      </w:pPr>
      <w:r>
        <w:rPr>
          <w:rFonts w:ascii="Garamond" w:hAnsi="Garamond"/>
        </w:rPr>
        <w:t xml:space="preserve"> Fagan &amp; Freeman (1999)</w:t>
      </w:r>
      <w:r w:rsidR="005543D7">
        <w:rPr>
          <w:rFonts w:ascii="Garamond" w:hAnsi="Garamond"/>
        </w:rPr>
        <w:t xml:space="preserve"> on crime and employment as substitutes</w:t>
      </w:r>
      <w:r>
        <w:rPr>
          <w:rFonts w:ascii="Garamond" w:hAnsi="Garamond"/>
        </w:rPr>
        <w:t xml:space="preserve"> </w:t>
      </w:r>
      <w:hyperlink r:id="rId16" w:history="1">
        <w:r w:rsidR="005D2B9D" w:rsidRPr="000A0F7C">
          <w:rPr>
            <w:rStyle w:val="Hyperlink"/>
            <w:rFonts w:ascii="Garamond" w:hAnsi="Garamond"/>
          </w:rPr>
          <w:t>https://doi.org/10.1086/449290</w:t>
        </w:r>
      </w:hyperlink>
    </w:p>
    <w:p w14:paraId="23ABDB57" w14:textId="50E478A5" w:rsidR="005D2B9D" w:rsidRPr="00041985" w:rsidRDefault="005D2B9D" w:rsidP="005D2B9D">
      <w:pPr>
        <w:pStyle w:val="ListParagraph"/>
        <w:numPr>
          <w:ilvl w:val="1"/>
          <w:numId w:val="8"/>
        </w:numPr>
        <w:spacing w:after="120" w:line="240" w:lineRule="auto"/>
        <w:rPr>
          <w:rFonts w:ascii="Garamond" w:hAnsi="Garamond"/>
        </w:rPr>
      </w:pPr>
      <w:r>
        <w:rPr>
          <w:rFonts w:ascii="Garamond" w:hAnsi="Garamond"/>
        </w:rPr>
        <w:t xml:space="preserve">Giordano et al. (2002) on dynamic life course perspectives </w:t>
      </w:r>
      <w:r w:rsidR="005A0A45" w:rsidRPr="005A0A45">
        <w:rPr>
          <w:rFonts w:ascii="Garamond" w:hAnsi="Garamond"/>
        </w:rPr>
        <w:t>https://doi.org/10.1086/343191</w:t>
      </w:r>
    </w:p>
    <w:p w14:paraId="5FA1EB3E" w14:textId="77777777" w:rsidR="00AC56F2" w:rsidRPr="00AC56F2" w:rsidRDefault="00AC56F2" w:rsidP="00AC56F2">
      <w:pPr>
        <w:spacing w:after="120" w:line="240" w:lineRule="auto"/>
        <w:rPr>
          <w:rFonts w:ascii="Garamond" w:hAnsi="Garamond"/>
        </w:rPr>
      </w:pP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7077EB92" w14:textId="792AFC42" w:rsidR="00AC56F2" w:rsidRPr="002B7BDC" w:rsidRDefault="00C015BC"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017516F1" w14:textId="534DC1B2" w:rsidR="00C015BC" w:rsidRDefault="00C015BC" w:rsidP="00C015BC">
      <w:pPr>
        <w:pStyle w:val="ListParagraph"/>
        <w:numPr>
          <w:ilvl w:val="0"/>
          <w:numId w:val="8"/>
        </w:numPr>
        <w:spacing w:after="120" w:line="240" w:lineRule="auto"/>
        <w:rPr>
          <w:rFonts w:ascii="Garamond" w:hAnsi="Garamond"/>
        </w:rPr>
      </w:pPr>
      <w:r>
        <w:rPr>
          <w:rFonts w:ascii="Garamond" w:hAnsi="Garamond"/>
        </w:rPr>
        <w:t xml:space="preserve">Review the couple papers on continuous time models and </w:t>
      </w:r>
      <w:r w:rsidR="0046763E">
        <w:rPr>
          <w:rFonts w:ascii="Garamond" w:hAnsi="Garamond"/>
        </w:rPr>
        <w:t>write a sentence or two on</w:t>
      </w:r>
      <w:r w:rsidR="000543E8">
        <w:rPr>
          <w:rFonts w:ascii="Garamond" w:hAnsi="Garamond"/>
        </w:rPr>
        <w:t xml:space="preserve"> assumptions of discrete time.</w:t>
      </w:r>
    </w:p>
    <w:p w14:paraId="267BCB6E" w14:textId="366C8498" w:rsidR="000543E8" w:rsidRPr="00C015BC" w:rsidRDefault="000543E8" w:rsidP="000543E8">
      <w:pPr>
        <w:pStyle w:val="ListParagraph"/>
        <w:numPr>
          <w:ilvl w:val="1"/>
          <w:numId w:val="8"/>
        </w:numPr>
        <w:spacing w:after="120" w:line="240" w:lineRule="auto"/>
        <w:rPr>
          <w:rFonts w:ascii="Garamond" w:hAnsi="Garamond"/>
        </w:rPr>
      </w:pPr>
      <w:r>
        <w:rPr>
          <w:rFonts w:ascii="Garamond" w:hAnsi="Garamond"/>
        </w:rPr>
        <w:t>CCL: My recollection is any continuous time model can be represented as a discrete time one and vice versa</w:t>
      </w:r>
      <w:r w:rsidR="00C65AAF">
        <w:rPr>
          <w:rFonts w:ascii="Garamond" w:hAnsi="Garamond"/>
        </w:rPr>
        <w:t>.</w:t>
      </w:r>
      <w:r w:rsidR="002F532D">
        <w:rPr>
          <w:rFonts w:ascii="Garamond" w:hAnsi="Garamond"/>
        </w:rPr>
        <w:t xml:space="preserve"> It isn’t possible to have continuous time measurements though</w:t>
      </w:r>
      <w:r w:rsidR="00C85322">
        <w:rPr>
          <w:rFonts w:ascii="Garamond" w:hAnsi="Garamond"/>
        </w:rPr>
        <w:t>, and resolution of measurement matters for ability to imply continuous time models.</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 xml:space="preserve">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w:t>
      </w:r>
      <w:r w:rsidRPr="009E0E15">
        <w:rPr>
          <w:rFonts w:ascii="Garamond" w:hAnsi="Garamond"/>
          <w:i/>
          <w:iCs/>
        </w:rPr>
        <w:lastRenderedPageBreak/>
        <w:t>much broader timeframe than what people feel in the moment. In particular for CLPMs, the retrospective measures in different timeframes could create further issues in temporal ordering (eg, last 7 days, last 6 months). Retrospective measures also create multiple potential causal pathways within the CLPM (see Speyer et al: https://www.tandfonline.com/doi/full/10.1080/00273171.2024.2428222).</w:t>
      </w:r>
    </w:p>
    <w:p w14:paraId="4CC63F30" w14:textId="452D790B" w:rsidR="00AC56F2" w:rsidRPr="002B7BDC" w:rsidRDefault="0047705A"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3BEA0010" w14:textId="040A5E79" w:rsidR="0047705A" w:rsidRDefault="0047705A" w:rsidP="0047705A">
      <w:pPr>
        <w:pStyle w:val="ListParagraph"/>
        <w:numPr>
          <w:ilvl w:val="0"/>
          <w:numId w:val="8"/>
        </w:numPr>
        <w:spacing w:after="120" w:line="240" w:lineRule="auto"/>
        <w:rPr>
          <w:rFonts w:ascii="Garamond" w:hAnsi="Garamond"/>
        </w:rPr>
      </w:pPr>
      <w:r>
        <w:rPr>
          <w:rFonts w:ascii="Garamond" w:hAnsi="Garamond"/>
        </w:rPr>
        <w:t>Read up a bit on retrospective and current measures; expand discussion of retrospective vs. current measures</w:t>
      </w:r>
      <w:r w:rsidR="002B7BDC">
        <w:rPr>
          <w:rFonts w:ascii="Garamond" w:hAnsi="Garamond"/>
        </w:rPr>
        <w:t>; write 2-3 sentences that acknowledge issue but defer to other literature</w:t>
      </w:r>
    </w:p>
    <w:p w14:paraId="735765DE" w14:textId="4CA0727D" w:rsidR="00896D02" w:rsidRPr="0047705A" w:rsidRDefault="00896D02" w:rsidP="00896D02">
      <w:pPr>
        <w:pStyle w:val="ListParagraph"/>
        <w:numPr>
          <w:ilvl w:val="1"/>
          <w:numId w:val="8"/>
        </w:numPr>
        <w:spacing w:after="120" w:line="240" w:lineRule="auto"/>
        <w:rPr>
          <w:rFonts w:ascii="Garamond" w:hAnsi="Garamond"/>
        </w:rPr>
      </w:pPr>
      <w:r>
        <w:rPr>
          <w:rFonts w:ascii="Garamond" w:hAnsi="Garamond"/>
        </w:rPr>
        <w:t>CCL: I like the idea to do this but I think the lit is pretty huge, so need to avoid adding too much bulk</w:t>
      </w:r>
      <w:r w:rsidR="004D2D02">
        <w:rPr>
          <w:rFonts w:ascii="Garamond" w:hAnsi="Garamond"/>
        </w:rPr>
        <w:t xml:space="preserve">, e.g., I must resist showing a </w:t>
      </w:r>
      <w:r w:rsidR="004F50E1">
        <w:rPr>
          <w:rFonts w:ascii="Garamond" w:hAnsi="Garamond"/>
        </w:rPr>
        <w:t>DAG for a CLPM between two measures with different temporal spans.</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2F93754B" w14:textId="52FCF504" w:rsidR="000F516A" w:rsidRPr="002C054E" w:rsidRDefault="000F516A" w:rsidP="00AC56F2">
      <w:pPr>
        <w:spacing w:after="120" w:line="240" w:lineRule="auto"/>
        <w:rPr>
          <w:rFonts w:ascii="Garamond" w:hAnsi="Garamond"/>
          <w:b/>
          <w:bCs/>
        </w:rPr>
      </w:pPr>
      <w:r>
        <w:rPr>
          <w:rFonts w:ascii="Garamond" w:hAnsi="Garamond"/>
        </w:rPr>
        <w:t>TO DO:</w:t>
      </w:r>
      <w:r w:rsidR="002C054E">
        <w:rPr>
          <w:rFonts w:ascii="Garamond" w:hAnsi="Garamond"/>
        </w:rPr>
        <w:t xml:space="preserve"> </w:t>
      </w:r>
      <w:r w:rsidR="002C054E">
        <w:rPr>
          <w:rFonts w:ascii="Garamond" w:hAnsi="Garamond"/>
          <w:b/>
          <w:bCs/>
        </w:rPr>
        <w:t>Thiago then CCL</w:t>
      </w:r>
    </w:p>
    <w:p w14:paraId="0F4827D3" w14:textId="276EDB40" w:rsidR="00B92D20" w:rsidRDefault="000F516A" w:rsidP="000F516A">
      <w:pPr>
        <w:pStyle w:val="ListParagraph"/>
        <w:numPr>
          <w:ilvl w:val="0"/>
          <w:numId w:val="8"/>
        </w:numPr>
        <w:spacing w:after="120" w:line="240" w:lineRule="auto"/>
        <w:rPr>
          <w:rFonts w:ascii="Garamond" w:hAnsi="Garamond"/>
        </w:rPr>
      </w:pPr>
      <w:r>
        <w:rPr>
          <w:rFonts w:ascii="Garamond" w:hAnsi="Garamond"/>
        </w:rPr>
        <w:t xml:space="preserve">Thorough sweep of the paper looking to </w:t>
      </w:r>
      <w:r w:rsidR="00B92D20">
        <w:rPr>
          <w:rFonts w:ascii="Garamond" w:hAnsi="Garamond"/>
        </w:rPr>
        <w:t xml:space="preserve">simplify and smooth technical sides for readers, in two ways: (a) make sure terms are carefully defined if used; (b) replace technical terms and purely abstract </w:t>
      </w:r>
      <w:r w:rsidR="00EA1AD3">
        <w:rPr>
          <w:rFonts w:ascii="Garamond" w:hAnsi="Garamond"/>
        </w:rPr>
        <w:t>content with examples using our front end topics.</w:t>
      </w:r>
      <w:r w:rsidR="00774553">
        <w:rPr>
          <w:rFonts w:ascii="Garamond" w:hAnsi="Garamond"/>
        </w:rPr>
        <w:t xml:space="preserve"> Main thing is tying to concrete examples rather than abstractions.</w:t>
      </w:r>
    </w:p>
    <w:p w14:paraId="498C36C1" w14:textId="0EED9179" w:rsidR="00AC56F2" w:rsidRDefault="000F516A" w:rsidP="00AC56F2">
      <w:pPr>
        <w:pStyle w:val="ListParagraph"/>
        <w:numPr>
          <w:ilvl w:val="1"/>
          <w:numId w:val="8"/>
        </w:numPr>
        <w:spacing w:after="120" w:line="240" w:lineRule="auto"/>
        <w:rPr>
          <w:rFonts w:ascii="Garamond" w:hAnsi="Garamond"/>
        </w:rPr>
      </w:pPr>
      <w:r w:rsidRPr="000F516A">
        <w:rPr>
          <w:rFonts w:ascii="Garamond" w:hAnsi="Garamond"/>
        </w:rPr>
        <w:t>CCL:</w:t>
      </w:r>
      <w:r w:rsidR="00EA1AD3">
        <w:rPr>
          <w:rFonts w:ascii="Garamond" w:hAnsi="Garamond"/>
        </w:rPr>
        <w:t xml:space="preserve"> Yeah, given how we wrote paper, it makes sense back half is more technical; we worked backwards from it!</w:t>
      </w:r>
    </w:p>
    <w:p w14:paraId="57AD4986" w14:textId="77777777" w:rsidR="00EA1AD3" w:rsidRPr="00EA1AD3" w:rsidRDefault="00EA1AD3" w:rsidP="000C7195">
      <w:pPr>
        <w:pStyle w:val="ListParagraph"/>
        <w:spacing w:after="120" w:line="240" w:lineRule="auto"/>
        <w:ind w:left="1440"/>
        <w:rPr>
          <w:rFonts w:ascii="Garamond" w:hAnsi="Garamond"/>
        </w:rPr>
      </w:pP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1CA31CE8" w14:textId="600C5F4B" w:rsidR="00AC56F2" w:rsidRPr="005B0B4D" w:rsidRDefault="000C7195" w:rsidP="00AC56F2">
      <w:pPr>
        <w:spacing w:after="120" w:line="240" w:lineRule="auto"/>
        <w:rPr>
          <w:rFonts w:ascii="Garamond" w:hAnsi="Garamond"/>
          <w:b/>
          <w:bCs/>
        </w:rPr>
      </w:pPr>
      <w:r>
        <w:rPr>
          <w:rFonts w:ascii="Garamond" w:hAnsi="Garamond"/>
        </w:rPr>
        <w:t>TO DO:</w:t>
      </w:r>
      <w:r w:rsidR="005B0B4D">
        <w:rPr>
          <w:rFonts w:ascii="Garamond" w:hAnsi="Garamond"/>
        </w:rPr>
        <w:t xml:space="preserve"> </w:t>
      </w:r>
      <w:r w:rsidR="005B0B4D">
        <w:rPr>
          <w:rFonts w:ascii="Garamond" w:hAnsi="Garamond"/>
          <w:b/>
          <w:bCs/>
        </w:rPr>
        <w:t>CCL then Thiago</w:t>
      </w:r>
    </w:p>
    <w:p w14:paraId="4D38E6C1" w14:textId="1C41D19D" w:rsidR="00AB02C1" w:rsidRDefault="00AB02C1" w:rsidP="000C7195">
      <w:pPr>
        <w:pStyle w:val="ListParagraph"/>
        <w:numPr>
          <w:ilvl w:val="0"/>
          <w:numId w:val="8"/>
        </w:numPr>
        <w:spacing w:after="120" w:line="240" w:lineRule="auto"/>
        <w:rPr>
          <w:rFonts w:ascii="Garamond" w:hAnsi="Garamond"/>
        </w:rPr>
      </w:pPr>
      <w:r>
        <w:rPr>
          <w:rFonts w:ascii="Garamond" w:hAnsi="Garamond"/>
        </w:rPr>
        <w:t>We have added some examples of research using ML-SEM both in developmental and life course criminology and criminology more broadly.</w:t>
      </w:r>
    </w:p>
    <w:p w14:paraId="6382E590" w14:textId="4D30339D" w:rsidR="000C7195" w:rsidRDefault="000C7195" w:rsidP="000C7195">
      <w:pPr>
        <w:pStyle w:val="ListParagraph"/>
        <w:numPr>
          <w:ilvl w:val="0"/>
          <w:numId w:val="8"/>
        </w:numPr>
        <w:spacing w:after="120" w:line="240" w:lineRule="auto"/>
        <w:rPr>
          <w:rFonts w:ascii="Garamond" w:hAnsi="Garamond"/>
        </w:rPr>
      </w:pPr>
      <w:r>
        <w:rPr>
          <w:rFonts w:ascii="Garamond" w:hAnsi="Garamond"/>
        </w:rPr>
        <w:t>Add examples of studies using the ML-SEM and RI-CLPM.</w:t>
      </w:r>
    </w:p>
    <w:p w14:paraId="440F8843" w14:textId="34336A3B" w:rsidR="00EB5DD1" w:rsidRDefault="00EB5DD1" w:rsidP="00EB5DD1">
      <w:pPr>
        <w:pStyle w:val="ListParagraph"/>
        <w:numPr>
          <w:ilvl w:val="1"/>
          <w:numId w:val="8"/>
        </w:numPr>
        <w:spacing w:after="120" w:line="240" w:lineRule="auto"/>
        <w:rPr>
          <w:rFonts w:ascii="Garamond" w:hAnsi="Garamond"/>
        </w:rPr>
      </w:pPr>
      <w:r w:rsidRPr="00EB5DD1">
        <w:rPr>
          <w:rFonts w:ascii="Garamond" w:hAnsi="Garamond"/>
        </w:rPr>
        <w:t>ML-SEM</w:t>
      </w:r>
      <w:r w:rsidR="00DB4F02">
        <w:rPr>
          <w:rFonts w:ascii="Garamond" w:hAnsi="Garamond"/>
        </w:rPr>
        <w:t xml:space="preserve"> is perhaps less used but there’s still a bunch</w:t>
      </w:r>
      <w:r>
        <w:rPr>
          <w:rFonts w:ascii="Garamond" w:hAnsi="Garamond"/>
        </w:rPr>
        <w:t>:</w:t>
      </w:r>
    </w:p>
    <w:p w14:paraId="49CDDE5E" w14:textId="4084DC98" w:rsidR="009B50A3" w:rsidRDefault="00EA3F75" w:rsidP="00EB5DD1">
      <w:pPr>
        <w:pStyle w:val="ListParagraph"/>
        <w:numPr>
          <w:ilvl w:val="2"/>
          <w:numId w:val="8"/>
        </w:numPr>
        <w:spacing w:after="120" w:line="240" w:lineRule="auto"/>
        <w:rPr>
          <w:rFonts w:ascii="Garamond" w:hAnsi="Garamond"/>
        </w:rPr>
      </w:pPr>
      <w:r w:rsidRPr="00EB5DD1">
        <w:rPr>
          <w:rFonts w:ascii="Garamond" w:hAnsi="Garamond"/>
        </w:rPr>
        <w:t>I’ve used ML-SEM in the Airbnb paper</w:t>
      </w:r>
      <w:r w:rsidR="001364DE" w:rsidRPr="00EB5DD1">
        <w:rPr>
          <w:rFonts w:ascii="Garamond" w:hAnsi="Garamond"/>
        </w:rPr>
        <w:t xml:space="preserve"> and you’ve used it in the Law &amp; Society review piece but both are neighborhoods stuff.</w:t>
      </w:r>
      <w:r w:rsidR="00E379A7" w:rsidRPr="00EB5DD1">
        <w:rPr>
          <w:rFonts w:ascii="Garamond" w:hAnsi="Garamond"/>
        </w:rPr>
        <w:t xml:space="preserve"> </w:t>
      </w:r>
    </w:p>
    <w:p w14:paraId="013107C9" w14:textId="386ED9FE" w:rsidR="003B68DA" w:rsidRPr="00EB5DD1" w:rsidRDefault="003B68DA" w:rsidP="003B68DA">
      <w:pPr>
        <w:pStyle w:val="ListParagraph"/>
        <w:numPr>
          <w:ilvl w:val="3"/>
          <w:numId w:val="8"/>
        </w:numPr>
        <w:spacing w:after="120" w:line="240" w:lineRule="auto"/>
        <w:rPr>
          <w:rFonts w:ascii="Garamond" w:hAnsi="Garamond"/>
        </w:rPr>
      </w:pPr>
      <w:r>
        <w:rPr>
          <w:rFonts w:ascii="Garamond" w:hAnsi="Garamond"/>
        </w:rPr>
        <w:t>Actually do use the Airbnb paper as it is a good temporal timing one; AJS if we magically get an R&amp;R</w:t>
      </w:r>
    </w:p>
    <w:p w14:paraId="1AD56CEB" w14:textId="32A046EE" w:rsidR="00EA3F75" w:rsidRDefault="00E379A7" w:rsidP="009B50A3">
      <w:pPr>
        <w:pStyle w:val="ListParagraph"/>
        <w:numPr>
          <w:ilvl w:val="2"/>
          <w:numId w:val="8"/>
        </w:numPr>
        <w:spacing w:after="120" w:line="240" w:lineRule="auto"/>
        <w:rPr>
          <w:rFonts w:ascii="Garamond" w:hAnsi="Garamond"/>
        </w:rPr>
      </w:pPr>
      <w:r>
        <w:rPr>
          <w:rFonts w:ascii="Garamond" w:hAnsi="Garamond"/>
        </w:rPr>
        <w:t>Some other non-life course stuff is Rosenfeld &amp; Wallman (2019) on de-policing and homicide rates in US</w:t>
      </w:r>
      <w:r w:rsidR="009B50A3">
        <w:rPr>
          <w:rFonts w:ascii="Garamond" w:hAnsi="Garamond"/>
        </w:rPr>
        <w:t>.</w:t>
      </w:r>
    </w:p>
    <w:p w14:paraId="07B39D6B" w14:textId="7E725804" w:rsidR="009B50A3" w:rsidRDefault="009B50A3" w:rsidP="009B50A3">
      <w:pPr>
        <w:pStyle w:val="ListParagraph"/>
        <w:numPr>
          <w:ilvl w:val="2"/>
          <w:numId w:val="8"/>
        </w:numPr>
        <w:spacing w:after="120" w:line="240" w:lineRule="auto"/>
        <w:rPr>
          <w:rFonts w:ascii="Garamond" w:hAnsi="Garamond"/>
        </w:rPr>
      </w:pPr>
      <w:r>
        <w:rPr>
          <w:rFonts w:ascii="Garamond" w:hAnsi="Garamond"/>
        </w:rPr>
        <w:t>Some life course stuff:</w:t>
      </w:r>
    </w:p>
    <w:p w14:paraId="41870FFF" w14:textId="72B16C51" w:rsidR="00893AB2" w:rsidRPr="00893AB2" w:rsidRDefault="009B50A3" w:rsidP="00893AB2">
      <w:pPr>
        <w:pStyle w:val="ListParagraph"/>
        <w:numPr>
          <w:ilvl w:val="3"/>
          <w:numId w:val="8"/>
        </w:numPr>
        <w:rPr>
          <w:rFonts w:ascii="Garamond" w:hAnsi="Garamond"/>
        </w:rPr>
      </w:pPr>
      <w:r w:rsidRPr="00893AB2">
        <w:rPr>
          <w:rFonts w:ascii="Garamond" w:hAnsi="Garamond"/>
        </w:rPr>
        <w:t>Unnever &amp; Chouhy (2020) use it as a robustness test</w:t>
      </w:r>
      <w:r w:rsidR="00893AB2">
        <w:rPr>
          <w:rFonts w:ascii="Garamond" w:hAnsi="Garamond"/>
        </w:rPr>
        <w:t xml:space="preserve"> in paper about race, gender, and perceptions of peer delinquency in PHDCN-LCS</w:t>
      </w:r>
      <w:r w:rsidRPr="00893AB2">
        <w:rPr>
          <w:rFonts w:ascii="Garamond" w:hAnsi="Garamond"/>
        </w:rPr>
        <w:t>.</w:t>
      </w:r>
      <w:r w:rsidR="00893AB2" w:rsidRPr="00893AB2">
        <w:rPr>
          <w:rFonts w:ascii="Garamond" w:hAnsi="Garamond"/>
        </w:rPr>
        <w:t xml:space="preserve"> https://doi.org/10.1080/01639625.2019.1623604</w:t>
      </w:r>
    </w:p>
    <w:p w14:paraId="4D8337AD" w14:textId="3F8C89CD" w:rsidR="009B50A3" w:rsidRDefault="00D006FB" w:rsidP="009B50A3">
      <w:pPr>
        <w:pStyle w:val="ListParagraph"/>
        <w:numPr>
          <w:ilvl w:val="3"/>
          <w:numId w:val="8"/>
        </w:numPr>
        <w:spacing w:after="120" w:line="240" w:lineRule="auto"/>
        <w:rPr>
          <w:rFonts w:ascii="Garamond" w:hAnsi="Garamond"/>
        </w:rPr>
      </w:pPr>
      <w:r w:rsidRPr="00D006FB">
        <w:rPr>
          <w:rFonts w:ascii="Garamond" w:hAnsi="Garamond"/>
        </w:rPr>
        <w:t>Yeungjeom Lee</w:t>
      </w:r>
      <w:r>
        <w:rPr>
          <w:rFonts w:ascii="Garamond" w:hAnsi="Garamond"/>
        </w:rPr>
        <w:t xml:space="preserve"> (</w:t>
      </w:r>
      <w:hyperlink r:id="rId17" w:history="1">
        <w:r w:rsidRPr="0044605E">
          <w:rPr>
            <w:rStyle w:val="Hyperlink"/>
            <w:rFonts w:ascii="Garamond" w:hAnsi="Garamond"/>
          </w:rPr>
          <w:t>https://profiles.utdallas.edu/yjlee</w:t>
        </w:r>
      </w:hyperlink>
      <w:r>
        <w:rPr>
          <w:rFonts w:ascii="Garamond" w:hAnsi="Garamond"/>
        </w:rPr>
        <w:t>) seems to have written a ton of life course papers using ML-SEM</w:t>
      </w:r>
      <w:r w:rsidR="00A32C24">
        <w:rPr>
          <w:rFonts w:ascii="Garamond" w:hAnsi="Garamond"/>
        </w:rPr>
        <w:t>; might find a good one to cite.</w:t>
      </w:r>
    </w:p>
    <w:p w14:paraId="7A3E8630" w14:textId="7133348F" w:rsidR="004319C3" w:rsidRDefault="004319C3" w:rsidP="009B50A3">
      <w:pPr>
        <w:pStyle w:val="ListParagraph"/>
        <w:numPr>
          <w:ilvl w:val="3"/>
          <w:numId w:val="8"/>
        </w:numPr>
        <w:spacing w:after="120" w:line="240" w:lineRule="auto"/>
        <w:rPr>
          <w:rFonts w:ascii="Garamond" w:hAnsi="Garamond"/>
        </w:rPr>
      </w:pPr>
      <w:r>
        <w:rPr>
          <w:rFonts w:ascii="Garamond" w:hAnsi="Garamond"/>
        </w:rPr>
        <w:lastRenderedPageBreak/>
        <w:t xml:space="preserve">DeMarco, Leppard, &amp; Lindsay (2024) on </w:t>
      </w:r>
      <w:r w:rsidR="00A66D24">
        <w:rPr>
          <w:rFonts w:ascii="Garamond" w:hAnsi="Garamond"/>
        </w:rPr>
        <w:t xml:space="preserve">effects of </w:t>
      </w:r>
      <w:r>
        <w:rPr>
          <w:rFonts w:ascii="Garamond" w:hAnsi="Garamond"/>
        </w:rPr>
        <w:t>delinquency</w:t>
      </w:r>
      <w:r w:rsidR="00A66D24">
        <w:rPr>
          <w:rFonts w:ascii="Garamond" w:hAnsi="Garamond"/>
        </w:rPr>
        <w:t xml:space="preserve"> and</w:t>
      </w:r>
      <w:r>
        <w:rPr>
          <w:rFonts w:ascii="Garamond" w:hAnsi="Garamond"/>
        </w:rPr>
        <w:t xml:space="preserve"> arrest</w:t>
      </w:r>
      <w:r w:rsidR="00A66D24">
        <w:rPr>
          <w:rFonts w:ascii="Garamond" w:hAnsi="Garamond"/>
        </w:rPr>
        <w:t xml:space="preserve"> on</w:t>
      </w:r>
      <w:r>
        <w:rPr>
          <w:rFonts w:ascii="Garamond" w:hAnsi="Garamond"/>
        </w:rPr>
        <w:t xml:space="preserve"> family social capital in adolescence </w:t>
      </w:r>
      <w:hyperlink r:id="rId18" w:history="1">
        <w:r w:rsidRPr="0044605E">
          <w:rPr>
            <w:rStyle w:val="Hyperlink"/>
            <w:rFonts w:ascii="Garamond" w:hAnsi="Garamond"/>
          </w:rPr>
          <w:t>https://doi.org/10.1111/jomf.13029</w:t>
        </w:r>
      </w:hyperlink>
    </w:p>
    <w:p w14:paraId="796288F7" w14:textId="2E64AF01" w:rsidR="00EB5DD1" w:rsidRDefault="00DB4F02" w:rsidP="00EB5DD1">
      <w:pPr>
        <w:pStyle w:val="ListParagraph"/>
        <w:numPr>
          <w:ilvl w:val="1"/>
          <w:numId w:val="8"/>
        </w:numPr>
        <w:spacing w:after="120" w:line="240" w:lineRule="auto"/>
        <w:rPr>
          <w:rFonts w:ascii="Garamond" w:hAnsi="Garamond"/>
        </w:rPr>
      </w:pPr>
      <w:r>
        <w:rPr>
          <w:rFonts w:ascii="Garamond" w:hAnsi="Garamond"/>
        </w:rPr>
        <w:t>RI-CLPM seems plentiful:</w:t>
      </w:r>
    </w:p>
    <w:p w14:paraId="33F44FD4" w14:textId="0876FF7A" w:rsidR="00AB0DBC" w:rsidRDefault="00AB0DBC" w:rsidP="006F7754">
      <w:pPr>
        <w:pStyle w:val="ListParagraph"/>
        <w:numPr>
          <w:ilvl w:val="2"/>
          <w:numId w:val="8"/>
        </w:numPr>
        <w:spacing w:after="120" w:line="240" w:lineRule="auto"/>
        <w:rPr>
          <w:rFonts w:ascii="Garamond" w:hAnsi="Garamond"/>
        </w:rPr>
      </w:pPr>
      <w:r>
        <w:rPr>
          <w:rFonts w:ascii="Garamond" w:hAnsi="Garamond"/>
        </w:rPr>
        <w:t>This paper Manuel is on actually seems methodologically relevant to us</w:t>
      </w:r>
      <w:r w:rsidR="00FE1BDB">
        <w:rPr>
          <w:rFonts w:ascii="Garamond" w:hAnsi="Garamond"/>
        </w:rPr>
        <w:t>: Speyer et al. (2024) “</w:t>
      </w:r>
      <w:r w:rsidR="00FE1BDB" w:rsidRPr="00FE1BDB">
        <w:rPr>
          <w:rFonts w:ascii="Garamond" w:hAnsi="Garamond"/>
        </w:rPr>
        <w:t>On the Importance of Considering Concurrent Effects in Random-Intercept Cross-Lagged Panel Modelling</w:t>
      </w:r>
      <w:r w:rsidR="00FE1BDB">
        <w:rPr>
          <w:rFonts w:ascii="Garamond" w:hAnsi="Garamond"/>
        </w:rPr>
        <w:t xml:space="preserve">” </w:t>
      </w:r>
      <w:hyperlink r:id="rId19" w:history="1">
        <w:r w:rsidR="00FE1BDB" w:rsidRPr="0044605E">
          <w:rPr>
            <w:rStyle w:val="Hyperlink"/>
            <w:rFonts w:ascii="Garamond" w:hAnsi="Garamond"/>
          </w:rPr>
          <w:t>https://www.tandfonline.com/doi/full/10.1080/00273171.2024.2428222</w:t>
        </w:r>
      </w:hyperlink>
      <w:r w:rsidR="00FE1BDB">
        <w:rPr>
          <w:rFonts w:ascii="Garamond" w:hAnsi="Garamond"/>
        </w:rPr>
        <w:t xml:space="preserve"> </w:t>
      </w:r>
      <w:r w:rsidR="00334C37">
        <w:rPr>
          <w:rFonts w:ascii="Garamond" w:hAnsi="Garamond"/>
        </w:rPr>
        <w:t>: “</w:t>
      </w:r>
      <w:r w:rsidR="00334C37" w:rsidRPr="00334C37">
        <w:rPr>
          <w:rFonts w:ascii="Garamond" w:hAnsi="Garamond"/>
        </w:rPr>
        <w:t>Results highlight that not considering directional concurrent effects may lead to biased cross-lagged effects. Thus, it is essential to carefully consider potential directional concurrent effects when choosing models to analyze directional associations between variables over time.</w:t>
      </w:r>
      <w:r w:rsidR="00334C37">
        <w:rPr>
          <w:rFonts w:ascii="Garamond" w:hAnsi="Garamond"/>
        </w:rPr>
        <w:t>”</w:t>
      </w:r>
    </w:p>
    <w:p w14:paraId="4A257A40" w14:textId="1783BCF2" w:rsidR="006F7754" w:rsidRDefault="006F7754" w:rsidP="006F7754">
      <w:pPr>
        <w:pStyle w:val="ListParagraph"/>
        <w:numPr>
          <w:ilvl w:val="2"/>
          <w:numId w:val="8"/>
        </w:numPr>
        <w:spacing w:after="120" w:line="240" w:lineRule="auto"/>
        <w:rPr>
          <w:rFonts w:ascii="Garamond" w:hAnsi="Garamond"/>
        </w:rPr>
      </w:pPr>
      <w:r>
        <w:rPr>
          <w:rFonts w:ascii="Garamond" w:hAnsi="Garamond"/>
        </w:rPr>
        <w:t>In JDLCC alone:</w:t>
      </w:r>
    </w:p>
    <w:p w14:paraId="5F81E787" w14:textId="38BF8072" w:rsidR="006F7754" w:rsidRDefault="006F7754" w:rsidP="006F7754">
      <w:pPr>
        <w:pStyle w:val="ListParagraph"/>
        <w:numPr>
          <w:ilvl w:val="3"/>
          <w:numId w:val="8"/>
        </w:numPr>
        <w:spacing w:after="120" w:line="240" w:lineRule="auto"/>
        <w:rPr>
          <w:rFonts w:ascii="Garamond" w:hAnsi="Garamond"/>
        </w:rPr>
      </w:pPr>
      <w:r>
        <w:rPr>
          <w:rFonts w:ascii="Garamond" w:hAnsi="Garamond"/>
        </w:rPr>
        <w:t xml:space="preserve">Forney &amp; Ward (2019) on identity, peer resistance, and antisocial influence </w:t>
      </w:r>
      <w:hyperlink r:id="rId20" w:history="1">
        <w:r w:rsidR="009A789C" w:rsidRPr="0044605E">
          <w:rPr>
            <w:rStyle w:val="Hyperlink"/>
            <w:rFonts w:ascii="Garamond" w:hAnsi="Garamond"/>
          </w:rPr>
          <w:t>https://link.springer.com/article/10.1007/s40865-018-0102-0</w:t>
        </w:r>
      </w:hyperlink>
    </w:p>
    <w:p w14:paraId="0434BB48" w14:textId="36A7FE3E" w:rsidR="009A789C" w:rsidRDefault="009A789C" w:rsidP="006F7754">
      <w:pPr>
        <w:pStyle w:val="ListParagraph"/>
        <w:numPr>
          <w:ilvl w:val="3"/>
          <w:numId w:val="8"/>
        </w:numPr>
        <w:spacing w:after="120" w:line="240" w:lineRule="auto"/>
        <w:rPr>
          <w:rFonts w:ascii="Garamond" w:hAnsi="Garamond"/>
        </w:rPr>
      </w:pPr>
      <w:r>
        <w:rPr>
          <w:rFonts w:ascii="Garamond" w:hAnsi="Garamond"/>
        </w:rPr>
        <w:t xml:space="preserve">Chen &amp; Nichols (2026) on correctional time and perceptions of legitimacy / legal cynicism </w:t>
      </w:r>
      <w:hyperlink r:id="rId21" w:history="1">
        <w:r w:rsidRPr="0044605E">
          <w:rPr>
            <w:rStyle w:val="Hyperlink"/>
            <w:rFonts w:ascii="Garamond" w:hAnsi="Garamond"/>
          </w:rPr>
          <w:t>https://link.springer.com/article/10.1007/s40865-026-00298-9</w:t>
        </w:r>
      </w:hyperlink>
    </w:p>
    <w:p w14:paraId="26408807" w14:textId="36FAC7D8" w:rsidR="002F6E12" w:rsidRPr="00DF6202" w:rsidRDefault="002F6E12" w:rsidP="00DF6202">
      <w:pPr>
        <w:pStyle w:val="ListParagraph"/>
        <w:numPr>
          <w:ilvl w:val="3"/>
          <w:numId w:val="8"/>
        </w:numPr>
        <w:spacing w:after="120" w:line="240" w:lineRule="auto"/>
        <w:rPr>
          <w:rFonts w:ascii="Garamond" w:hAnsi="Garamond"/>
        </w:rPr>
      </w:pPr>
      <w:r>
        <w:rPr>
          <w:rFonts w:ascii="Garamond" w:hAnsi="Garamond"/>
        </w:rPr>
        <w:t xml:space="preserve">Wiesner et al. (2022) on mental health and self-reported offending </w:t>
      </w:r>
      <w:hyperlink r:id="rId22" w:history="1">
        <w:r w:rsidRPr="0044605E">
          <w:rPr>
            <w:rStyle w:val="Hyperlink"/>
            <w:rFonts w:ascii="Garamond" w:hAnsi="Garamond"/>
          </w:rPr>
          <w:t>https://link.springer.com/article/10.1007/s40865-022-00221-y</w:t>
        </w:r>
      </w:hyperlink>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2E2437A6" w14:textId="77777777" w:rsidR="00E5642A" w:rsidRDefault="00D20E6D" w:rsidP="00D20E6D">
      <w:pPr>
        <w:spacing w:after="120" w:line="240" w:lineRule="auto"/>
        <w:rPr>
          <w:rFonts w:ascii="Garamond" w:hAnsi="Garamond"/>
          <w:b/>
          <w:bCs/>
        </w:rPr>
      </w:pPr>
      <w:r>
        <w:rPr>
          <w:rFonts w:ascii="Garamond" w:hAnsi="Garamond"/>
        </w:rPr>
        <w:t>TO DO:</w:t>
      </w:r>
      <w:r w:rsidR="0061194B">
        <w:rPr>
          <w:rFonts w:ascii="Garamond" w:hAnsi="Garamond"/>
        </w:rPr>
        <w:t xml:space="preserve"> </w:t>
      </w:r>
      <w:r w:rsidR="00E5642A">
        <w:rPr>
          <w:rFonts w:ascii="Garamond" w:hAnsi="Garamond"/>
          <w:b/>
          <w:bCs/>
        </w:rPr>
        <w:t xml:space="preserve">Thiago then me. </w:t>
      </w:r>
    </w:p>
    <w:p w14:paraId="5653CEEA" w14:textId="4A2D6B84" w:rsidR="00CA343D" w:rsidRDefault="00B974E0" w:rsidP="00E5642A">
      <w:pPr>
        <w:pStyle w:val="ListParagraph"/>
        <w:numPr>
          <w:ilvl w:val="0"/>
          <w:numId w:val="8"/>
        </w:numPr>
        <w:spacing w:after="120" w:line="240" w:lineRule="auto"/>
        <w:rPr>
          <w:rFonts w:ascii="Garamond" w:hAnsi="Garamond"/>
        </w:rPr>
      </w:pPr>
      <w:r>
        <w:rPr>
          <w:rFonts w:ascii="Garamond" w:hAnsi="Garamond"/>
        </w:rPr>
        <w:t xml:space="preserve">CCL: </w:t>
      </w:r>
      <w:r w:rsidR="00CA343D">
        <w:rPr>
          <w:rFonts w:ascii="Garamond" w:hAnsi="Garamond"/>
        </w:rPr>
        <w:t>I softened this slightly as it is difficult to know how common the issue is as no one has systematically examined it (call for research!) and many studies do not provide sufficient information to fully examine the model specification.</w:t>
      </w:r>
      <w:r w:rsidR="005D1A89">
        <w:rPr>
          <w:rFonts w:ascii="Garamond" w:hAnsi="Garamond"/>
        </w:rPr>
        <w:t xml:space="preserve"> I added this at end of temporal order section.</w:t>
      </w:r>
    </w:p>
    <w:p w14:paraId="2F15E06E" w14:textId="2DF976EB" w:rsidR="00D20E6D" w:rsidRDefault="0061194B" w:rsidP="00E5642A">
      <w:pPr>
        <w:pStyle w:val="ListParagraph"/>
        <w:numPr>
          <w:ilvl w:val="0"/>
          <w:numId w:val="8"/>
        </w:numPr>
        <w:spacing w:after="120" w:line="240" w:lineRule="auto"/>
        <w:rPr>
          <w:rFonts w:ascii="Garamond" w:hAnsi="Garamond"/>
        </w:rPr>
      </w:pPr>
      <w:r w:rsidRPr="00E5642A">
        <w:rPr>
          <w:rFonts w:ascii="Garamond" w:hAnsi="Garamond"/>
        </w:rPr>
        <w:t xml:space="preserve">Find empirical examples </w:t>
      </w:r>
      <w:r w:rsidR="00076829" w:rsidRPr="00E5642A">
        <w:rPr>
          <w:rFonts w:ascii="Garamond" w:hAnsi="Garamond"/>
        </w:rPr>
        <w:t>of (a) sign flips from misspecification and (b) insufficient intertemporal variation.</w:t>
      </w:r>
      <w:r w:rsidR="00BA195A" w:rsidRPr="00E5642A">
        <w:rPr>
          <w:rFonts w:ascii="Garamond" w:hAnsi="Garamond"/>
        </w:rPr>
        <w:t xml:space="preserve"> In ideal world, we’d have some in our employment or fear/disorder areas, but might be tricky.</w:t>
      </w:r>
      <w:r w:rsidR="00E97E4C">
        <w:rPr>
          <w:rFonts w:ascii="Garamond" w:hAnsi="Garamond"/>
        </w:rPr>
        <w:t xml:space="preserve"> Easier to call out insufficient variation as it does not look like a “mistake”; be careful with sign flips.</w:t>
      </w:r>
    </w:p>
    <w:p w14:paraId="471C1532" w14:textId="01CC6844" w:rsidR="005E336A" w:rsidRDefault="005E336A" w:rsidP="005E336A">
      <w:pPr>
        <w:pStyle w:val="ListParagraph"/>
        <w:numPr>
          <w:ilvl w:val="1"/>
          <w:numId w:val="8"/>
        </w:numPr>
        <w:spacing w:after="120" w:line="240" w:lineRule="auto"/>
        <w:rPr>
          <w:rFonts w:ascii="Garamond" w:hAnsi="Garamond"/>
        </w:rPr>
      </w:pPr>
      <w:r>
        <w:rPr>
          <w:rFonts w:ascii="Garamond" w:hAnsi="Garamond"/>
        </w:rPr>
        <w:t>Look at our own work first!</w:t>
      </w:r>
    </w:p>
    <w:p w14:paraId="4E38318A" w14:textId="1728B767" w:rsidR="008670D7" w:rsidRDefault="00595C68" w:rsidP="005E336A">
      <w:pPr>
        <w:pStyle w:val="ListParagraph"/>
        <w:numPr>
          <w:ilvl w:val="1"/>
          <w:numId w:val="8"/>
        </w:numPr>
        <w:spacing w:after="120" w:line="240" w:lineRule="auto"/>
        <w:rPr>
          <w:rFonts w:ascii="Garamond" w:hAnsi="Garamond"/>
        </w:rPr>
      </w:pPr>
      <w:r>
        <w:rPr>
          <w:rFonts w:ascii="Garamond" w:hAnsi="Garamond"/>
          <w:b/>
          <w:bCs/>
        </w:rPr>
        <w:t xml:space="preserve">ADDED THIS: </w:t>
      </w:r>
      <w:r w:rsidR="008670D7">
        <w:rPr>
          <w:rFonts w:ascii="Garamond" w:hAnsi="Garamond"/>
        </w:rPr>
        <w:t>Allison’s (2022) blog post on topic (</w:t>
      </w:r>
      <w:r w:rsidR="008670D7" w:rsidRPr="008670D7">
        <w:rPr>
          <w:rFonts w:ascii="Garamond" w:hAnsi="Garamond"/>
        </w:rPr>
        <w:t>https://statisticalhorizons.com/getting-the-lags-right-a-new-solution/</w:t>
      </w:r>
      <w:r w:rsidR="008670D7">
        <w:rPr>
          <w:rFonts w:ascii="Garamond" w:hAnsi="Garamond"/>
        </w:rPr>
        <w:t>) actually calls out a life-course study for sign flips!</w:t>
      </w:r>
      <w:r w:rsidR="00F205F7">
        <w:rPr>
          <w:rFonts w:ascii="Garamond" w:hAnsi="Garamond"/>
        </w:rPr>
        <w:t xml:space="preserve">: </w:t>
      </w:r>
      <w:r w:rsidR="00F205F7" w:rsidRPr="00F205F7">
        <w:rPr>
          <w:rFonts w:ascii="Garamond" w:hAnsi="Garamond"/>
        </w:rPr>
        <w:t xml:space="preserve">Ousey, G. C., Wilcox, P., &amp; Fisher, B. S. (2011). Something old, something new: Revisiting competing hypotheses of the victimization-offending relationship among adolescents. Journal of Quantitative Criminology, 27(1), 53-84. </w:t>
      </w:r>
      <w:hyperlink r:id="rId23" w:history="1">
        <w:r w:rsidR="00A362B9" w:rsidRPr="00147E7B">
          <w:rPr>
            <w:rStyle w:val="Hyperlink"/>
            <w:rFonts w:ascii="Garamond" w:hAnsi="Garamond"/>
          </w:rPr>
          <w:t>https://doi.org/10.1007/s10940-010-9099-1</w:t>
        </w:r>
      </w:hyperlink>
      <w:r w:rsidR="00A362B9">
        <w:rPr>
          <w:rFonts w:ascii="Garamond" w:hAnsi="Garamond"/>
        </w:rPr>
        <w:t xml:space="preserve"> This is actually a nice paper to point at because it is methodologically quite thoughtful </w:t>
      </w:r>
      <w:r w:rsidR="0065208D">
        <w:rPr>
          <w:rFonts w:ascii="Garamond" w:hAnsi="Garamond"/>
        </w:rPr>
        <w:t>but makes the mistake anyway because it was not recognized at the time.</w:t>
      </w:r>
    </w:p>
    <w:p w14:paraId="64C75EED" w14:textId="1F96E1C7" w:rsidR="00C2521C" w:rsidRPr="00E5642A" w:rsidRDefault="00C2521C" w:rsidP="005E336A">
      <w:pPr>
        <w:pStyle w:val="ListParagraph"/>
        <w:numPr>
          <w:ilvl w:val="1"/>
          <w:numId w:val="8"/>
        </w:numPr>
        <w:spacing w:after="120" w:line="240" w:lineRule="auto"/>
        <w:rPr>
          <w:rFonts w:ascii="Garamond" w:hAnsi="Garamond"/>
        </w:rPr>
      </w:pPr>
      <w:r>
        <w:rPr>
          <w:rFonts w:ascii="Garamond" w:hAnsi="Garamond"/>
          <w:b/>
          <w:bCs/>
        </w:rPr>
        <w:t>What about lack of intertemporal variation?</w:t>
      </w:r>
    </w:p>
    <w:p w14:paraId="754FB1C0" w14:textId="5175A437" w:rsidR="00D20E6D" w:rsidRDefault="00D20E6D" w:rsidP="00D20E6D">
      <w:pPr>
        <w:pStyle w:val="ListParagraph"/>
        <w:numPr>
          <w:ilvl w:val="0"/>
          <w:numId w:val="8"/>
        </w:numPr>
        <w:spacing w:after="120" w:line="240" w:lineRule="auto"/>
        <w:rPr>
          <w:rFonts w:ascii="Garamond" w:hAnsi="Garamond"/>
        </w:rPr>
      </w:pPr>
      <w:r>
        <w:rPr>
          <w:rFonts w:ascii="Garamond" w:hAnsi="Garamond"/>
        </w:rPr>
        <w:t>CCL: The trick about providing empirical example</w:t>
      </w:r>
      <w:r w:rsidR="00AC0D21">
        <w:rPr>
          <w:rFonts w:ascii="Garamond" w:hAnsi="Garamond"/>
        </w:rPr>
        <w:t>s</w:t>
      </w:r>
      <w:r>
        <w:rPr>
          <w:rFonts w:ascii="Garamond" w:hAnsi="Garamond"/>
        </w:rPr>
        <w:t xml:space="preserve"> is then having to call out people’s research for probably being the result of misspecification</w:t>
      </w:r>
      <w:r w:rsidR="00AC0D21">
        <w:rPr>
          <w:rFonts w:ascii="Garamond" w:hAnsi="Garamond"/>
        </w:rPr>
        <w:t xml:space="preserve"> or other issues</w:t>
      </w:r>
      <w:r>
        <w:rPr>
          <w:rFonts w:ascii="Garamond" w:hAnsi="Garamond"/>
        </w:rPr>
        <w:t>. I’d rather avoid doing that in the present paper, so we should look for empirical papers that in some way respond to prior work with these misspecification problems. Might be hard to find but worth having a couple illustrations IMO.</w:t>
      </w:r>
      <w:r w:rsidR="005B7378">
        <w:rPr>
          <w:rFonts w:ascii="Garamond" w:hAnsi="Garamond"/>
        </w:rPr>
        <w:t xml:space="preserve"> I’ve hinted or directly called out both the sign flips and lack of temporal variation in my neighborhoods review…</w:t>
      </w:r>
    </w:p>
    <w:p w14:paraId="00515C70" w14:textId="3E9B4F31" w:rsidR="0008433F" w:rsidRPr="00806499" w:rsidRDefault="0008433F" w:rsidP="00D20E6D">
      <w:pPr>
        <w:pStyle w:val="ListParagraph"/>
        <w:numPr>
          <w:ilvl w:val="0"/>
          <w:numId w:val="8"/>
        </w:numPr>
        <w:spacing w:after="120" w:line="240" w:lineRule="auto"/>
        <w:rPr>
          <w:rFonts w:ascii="Garamond" w:hAnsi="Garamond"/>
        </w:rPr>
      </w:pPr>
      <w:r>
        <w:rPr>
          <w:rFonts w:ascii="Garamond" w:hAnsi="Garamond"/>
        </w:rPr>
        <w:lastRenderedPageBreak/>
        <w:t>Might be pub bias toward sign flips</w:t>
      </w:r>
    </w:p>
    <w:p w14:paraId="1A3F034C" w14:textId="450D6CDB" w:rsidR="00AC56F2" w:rsidRDefault="00AC56F2" w:rsidP="00AC56F2">
      <w:pPr>
        <w:spacing w:after="120" w:line="240" w:lineRule="auto"/>
        <w:rPr>
          <w:rFonts w:ascii="Garamond" w:hAnsi="Garamond"/>
        </w:rPr>
      </w:pP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611BC227" w14:textId="77777777" w:rsidR="00AC56F2" w:rsidRDefault="00AC56F2" w:rsidP="00CE0279">
      <w:pPr>
        <w:spacing w:after="120" w:line="240" w:lineRule="auto"/>
        <w:rPr>
          <w:rFonts w:ascii="Garamond" w:hAnsi="Garamond"/>
        </w:rPr>
      </w:pPr>
    </w:p>
    <w:p w14:paraId="35E6B0C2" w14:textId="77777777" w:rsidR="00AC56F2" w:rsidRDefault="00AC56F2" w:rsidP="00CE0279">
      <w:pPr>
        <w:spacing w:after="120" w:line="240" w:lineRule="auto"/>
        <w:rPr>
          <w:rFonts w:ascii="Garamond" w:hAnsi="Garamond"/>
        </w:rPr>
      </w:pPr>
    </w:p>
    <w:p w14:paraId="11D4F0E4" w14:textId="1E6E81BC"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1E2975A9" w:rsidR="00CE0279" w:rsidRPr="00084462" w:rsidRDefault="007B77EE" w:rsidP="00CE0279">
      <w:pPr>
        <w:rPr>
          <w:rFonts w:ascii="Garamond" w:hAnsi="Garamond"/>
        </w:rPr>
      </w:pPr>
      <w:r>
        <w:rPr>
          <w:rFonts w:ascii="Garamond" w:hAnsi="Garamond"/>
        </w:rPr>
        <w:t xml:space="preserve">Dr </w:t>
      </w:r>
      <w:r w:rsidR="00CE0279" w:rsidRPr="00084462">
        <w:rPr>
          <w:rFonts w:ascii="Garamond" w:hAnsi="Garamond"/>
        </w:rPr>
        <w:t>Charles C. Lanfear</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24"/>
      <w:pgSz w:w="11907" w:h="16840" w:code="9"/>
      <w:pgMar w:top="1276" w:right="1276" w:bottom="1276" w:left="127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Lanfear" w:date="2026-05-20T11:04:00Z" w:initials="CL">
    <w:p w14:paraId="7D9F1DBD" w14:textId="77777777" w:rsidR="0046763E" w:rsidRDefault="0046763E" w:rsidP="0046763E">
      <w:pPr>
        <w:pStyle w:val="CommentText"/>
      </w:pPr>
      <w:r>
        <w:rPr>
          <w:rStyle w:val="CommentReference"/>
        </w:rPr>
        <w:annotationRef/>
      </w:r>
      <w:r>
        <w:t>Musings and notes I’m appending with my initials while actual TO DO items will just be bullet entries without initials.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9F1D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64A77" w16cex:dateUtc="2026-05-20T1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9F1DBD" w16cid:durableId="0DF64A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D74DE" w14:textId="77777777" w:rsidR="0018160A" w:rsidRDefault="0018160A" w:rsidP="00084462">
      <w:pPr>
        <w:spacing w:after="0" w:line="240" w:lineRule="auto"/>
      </w:pPr>
      <w:r>
        <w:separator/>
      </w:r>
    </w:p>
  </w:endnote>
  <w:endnote w:type="continuationSeparator" w:id="0">
    <w:p w14:paraId="0CF7374F" w14:textId="77777777" w:rsidR="0018160A" w:rsidRDefault="0018160A"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1C3DF" w14:textId="77777777" w:rsidR="0018160A" w:rsidRDefault="0018160A" w:rsidP="00084462">
      <w:pPr>
        <w:spacing w:after="0" w:line="240" w:lineRule="auto"/>
      </w:pPr>
      <w:r>
        <w:separator/>
      </w:r>
    </w:p>
  </w:footnote>
  <w:footnote w:type="continuationSeparator" w:id="0">
    <w:p w14:paraId="6ACA6197" w14:textId="77777777" w:rsidR="0018160A" w:rsidRDefault="0018160A"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Lanfear">
    <w15:presenceInfo w15:providerId="Windows Live" w15:userId="090f7abe46c7f0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829"/>
    <w:rsid w:val="000770C4"/>
    <w:rsid w:val="0008433F"/>
    <w:rsid w:val="00084462"/>
    <w:rsid w:val="00085998"/>
    <w:rsid w:val="000945C9"/>
    <w:rsid w:val="000A02A5"/>
    <w:rsid w:val="000A3052"/>
    <w:rsid w:val="000C6964"/>
    <w:rsid w:val="000C7195"/>
    <w:rsid w:val="000D080A"/>
    <w:rsid w:val="000D37E6"/>
    <w:rsid w:val="000E0178"/>
    <w:rsid w:val="000F516A"/>
    <w:rsid w:val="00100C1C"/>
    <w:rsid w:val="00104554"/>
    <w:rsid w:val="001225DA"/>
    <w:rsid w:val="0012329B"/>
    <w:rsid w:val="00125203"/>
    <w:rsid w:val="001364DE"/>
    <w:rsid w:val="00141C5F"/>
    <w:rsid w:val="00152A8F"/>
    <w:rsid w:val="00155B40"/>
    <w:rsid w:val="00160357"/>
    <w:rsid w:val="00160574"/>
    <w:rsid w:val="001764E2"/>
    <w:rsid w:val="0018160A"/>
    <w:rsid w:val="00195B59"/>
    <w:rsid w:val="001D0129"/>
    <w:rsid w:val="001D1495"/>
    <w:rsid w:val="001D30AF"/>
    <w:rsid w:val="001D4C2C"/>
    <w:rsid w:val="001F05CB"/>
    <w:rsid w:val="002155F6"/>
    <w:rsid w:val="002369EB"/>
    <w:rsid w:val="00237407"/>
    <w:rsid w:val="00237870"/>
    <w:rsid w:val="00240CDF"/>
    <w:rsid w:val="00253C68"/>
    <w:rsid w:val="0025714C"/>
    <w:rsid w:val="0026639C"/>
    <w:rsid w:val="0027282B"/>
    <w:rsid w:val="00273839"/>
    <w:rsid w:val="0027579C"/>
    <w:rsid w:val="00286529"/>
    <w:rsid w:val="00295982"/>
    <w:rsid w:val="0029706E"/>
    <w:rsid w:val="002A77D0"/>
    <w:rsid w:val="002B1A61"/>
    <w:rsid w:val="002B5006"/>
    <w:rsid w:val="002B7689"/>
    <w:rsid w:val="002B7BDC"/>
    <w:rsid w:val="002C054E"/>
    <w:rsid w:val="002C6DC1"/>
    <w:rsid w:val="002C75B6"/>
    <w:rsid w:val="002C7F1B"/>
    <w:rsid w:val="002E1FF7"/>
    <w:rsid w:val="002F532D"/>
    <w:rsid w:val="002F6E12"/>
    <w:rsid w:val="0032305A"/>
    <w:rsid w:val="00334C37"/>
    <w:rsid w:val="00342608"/>
    <w:rsid w:val="003461D5"/>
    <w:rsid w:val="00354704"/>
    <w:rsid w:val="00363A4A"/>
    <w:rsid w:val="00380BE1"/>
    <w:rsid w:val="0038517A"/>
    <w:rsid w:val="00393074"/>
    <w:rsid w:val="00393104"/>
    <w:rsid w:val="003959EA"/>
    <w:rsid w:val="003A04D1"/>
    <w:rsid w:val="003A1376"/>
    <w:rsid w:val="003A423D"/>
    <w:rsid w:val="003A49B9"/>
    <w:rsid w:val="003B68DA"/>
    <w:rsid w:val="003C0992"/>
    <w:rsid w:val="003C1332"/>
    <w:rsid w:val="003C4CED"/>
    <w:rsid w:val="003C6A56"/>
    <w:rsid w:val="003D0EA9"/>
    <w:rsid w:val="003D68F4"/>
    <w:rsid w:val="003D6C5B"/>
    <w:rsid w:val="003E4DCA"/>
    <w:rsid w:val="004035E5"/>
    <w:rsid w:val="004106FA"/>
    <w:rsid w:val="0042250B"/>
    <w:rsid w:val="00423F66"/>
    <w:rsid w:val="00425008"/>
    <w:rsid w:val="004319C3"/>
    <w:rsid w:val="00440D51"/>
    <w:rsid w:val="004474DE"/>
    <w:rsid w:val="00447552"/>
    <w:rsid w:val="00463247"/>
    <w:rsid w:val="00466718"/>
    <w:rsid w:val="0046763E"/>
    <w:rsid w:val="0047705A"/>
    <w:rsid w:val="00484AFB"/>
    <w:rsid w:val="004910F3"/>
    <w:rsid w:val="00491BA7"/>
    <w:rsid w:val="00495CC9"/>
    <w:rsid w:val="004A13F4"/>
    <w:rsid w:val="004A6DA7"/>
    <w:rsid w:val="004B1495"/>
    <w:rsid w:val="004B38A9"/>
    <w:rsid w:val="004C26A9"/>
    <w:rsid w:val="004C3BBB"/>
    <w:rsid w:val="004D2D02"/>
    <w:rsid w:val="004D4C8A"/>
    <w:rsid w:val="004E5439"/>
    <w:rsid w:val="004F50E1"/>
    <w:rsid w:val="004F6678"/>
    <w:rsid w:val="00501438"/>
    <w:rsid w:val="00506A37"/>
    <w:rsid w:val="005205BC"/>
    <w:rsid w:val="00520B45"/>
    <w:rsid w:val="005321F3"/>
    <w:rsid w:val="005543D7"/>
    <w:rsid w:val="005574A3"/>
    <w:rsid w:val="0057328B"/>
    <w:rsid w:val="0058241D"/>
    <w:rsid w:val="00584DE1"/>
    <w:rsid w:val="00585CE0"/>
    <w:rsid w:val="00595C68"/>
    <w:rsid w:val="005A0A45"/>
    <w:rsid w:val="005A285D"/>
    <w:rsid w:val="005B0B4D"/>
    <w:rsid w:val="005B7378"/>
    <w:rsid w:val="005C7D66"/>
    <w:rsid w:val="005D1A89"/>
    <w:rsid w:val="005D1CE8"/>
    <w:rsid w:val="005D2B9D"/>
    <w:rsid w:val="005E336A"/>
    <w:rsid w:val="005F586D"/>
    <w:rsid w:val="00603BD2"/>
    <w:rsid w:val="00604745"/>
    <w:rsid w:val="00611617"/>
    <w:rsid w:val="00611789"/>
    <w:rsid w:val="0061194B"/>
    <w:rsid w:val="0063197B"/>
    <w:rsid w:val="00631A09"/>
    <w:rsid w:val="00637AA3"/>
    <w:rsid w:val="00640ED3"/>
    <w:rsid w:val="0064430B"/>
    <w:rsid w:val="0065208D"/>
    <w:rsid w:val="00655AAC"/>
    <w:rsid w:val="00660065"/>
    <w:rsid w:val="006631A3"/>
    <w:rsid w:val="006749E8"/>
    <w:rsid w:val="00680182"/>
    <w:rsid w:val="00690C4F"/>
    <w:rsid w:val="00694049"/>
    <w:rsid w:val="00694186"/>
    <w:rsid w:val="006A6D13"/>
    <w:rsid w:val="006D0EA9"/>
    <w:rsid w:val="006D1ACF"/>
    <w:rsid w:val="006F7754"/>
    <w:rsid w:val="0070138A"/>
    <w:rsid w:val="007112CF"/>
    <w:rsid w:val="00751F93"/>
    <w:rsid w:val="00754B28"/>
    <w:rsid w:val="00756D58"/>
    <w:rsid w:val="007613FE"/>
    <w:rsid w:val="0076191C"/>
    <w:rsid w:val="00762B1B"/>
    <w:rsid w:val="00773351"/>
    <w:rsid w:val="00774553"/>
    <w:rsid w:val="00774B73"/>
    <w:rsid w:val="007A2ED2"/>
    <w:rsid w:val="007A479B"/>
    <w:rsid w:val="007B04A3"/>
    <w:rsid w:val="007B18EB"/>
    <w:rsid w:val="007B77EE"/>
    <w:rsid w:val="007D2B6A"/>
    <w:rsid w:val="007D5A6F"/>
    <w:rsid w:val="007E254D"/>
    <w:rsid w:val="007E3213"/>
    <w:rsid w:val="007F1884"/>
    <w:rsid w:val="007F18F4"/>
    <w:rsid w:val="007F24A3"/>
    <w:rsid w:val="007F3F11"/>
    <w:rsid w:val="00806499"/>
    <w:rsid w:val="00821285"/>
    <w:rsid w:val="0082689B"/>
    <w:rsid w:val="008268F3"/>
    <w:rsid w:val="00845E3A"/>
    <w:rsid w:val="00861620"/>
    <w:rsid w:val="00864F6E"/>
    <w:rsid w:val="008670D7"/>
    <w:rsid w:val="00872975"/>
    <w:rsid w:val="00875BC4"/>
    <w:rsid w:val="00877157"/>
    <w:rsid w:val="008844C4"/>
    <w:rsid w:val="00893AB2"/>
    <w:rsid w:val="00896443"/>
    <w:rsid w:val="00896D02"/>
    <w:rsid w:val="008A2E9C"/>
    <w:rsid w:val="008A42DA"/>
    <w:rsid w:val="008B1601"/>
    <w:rsid w:val="008B1BB6"/>
    <w:rsid w:val="008C2760"/>
    <w:rsid w:val="008C696F"/>
    <w:rsid w:val="008C7D21"/>
    <w:rsid w:val="008D1C0A"/>
    <w:rsid w:val="008D3A0B"/>
    <w:rsid w:val="008E1241"/>
    <w:rsid w:val="00903CD4"/>
    <w:rsid w:val="00904767"/>
    <w:rsid w:val="00915CDF"/>
    <w:rsid w:val="00915D56"/>
    <w:rsid w:val="00922576"/>
    <w:rsid w:val="00934975"/>
    <w:rsid w:val="00945C38"/>
    <w:rsid w:val="0095040E"/>
    <w:rsid w:val="00951553"/>
    <w:rsid w:val="00954C31"/>
    <w:rsid w:val="00964608"/>
    <w:rsid w:val="009770C6"/>
    <w:rsid w:val="0099192C"/>
    <w:rsid w:val="009A1D17"/>
    <w:rsid w:val="009A789C"/>
    <w:rsid w:val="009B50A3"/>
    <w:rsid w:val="009B5BE7"/>
    <w:rsid w:val="009C2CF4"/>
    <w:rsid w:val="009D1FD6"/>
    <w:rsid w:val="009D207C"/>
    <w:rsid w:val="009D5F8A"/>
    <w:rsid w:val="009E0E15"/>
    <w:rsid w:val="009E7605"/>
    <w:rsid w:val="009E7826"/>
    <w:rsid w:val="009F2BC5"/>
    <w:rsid w:val="00A0164C"/>
    <w:rsid w:val="00A0719C"/>
    <w:rsid w:val="00A12B73"/>
    <w:rsid w:val="00A24493"/>
    <w:rsid w:val="00A3213F"/>
    <w:rsid w:val="00A32C24"/>
    <w:rsid w:val="00A332F6"/>
    <w:rsid w:val="00A362B9"/>
    <w:rsid w:val="00A453E3"/>
    <w:rsid w:val="00A46A19"/>
    <w:rsid w:val="00A47FCE"/>
    <w:rsid w:val="00A560B8"/>
    <w:rsid w:val="00A60B1B"/>
    <w:rsid w:val="00A62AA8"/>
    <w:rsid w:val="00A65F32"/>
    <w:rsid w:val="00A66D24"/>
    <w:rsid w:val="00A75D98"/>
    <w:rsid w:val="00A803C2"/>
    <w:rsid w:val="00A859B3"/>
    <w:rsid w:val="00AA1649"/>
    <w:rsid w:val="00AA68A6"/>
    <w:rsid w:val="00AB02C1"/>
    <w:rsid w:val="00AB0DBC"/>
    <w:rsid w:val="00AC0D21"/>
    <w:rsid w:val="00AC56F2"/>
    <w:rsid w:val="00AC67E1"/>
    <w:rsid w:val="00AD7CEF"/>
    <w:rsid w:val="00AE0D19"/>
    <w:rsid w:val="00B00E43"/>
    <w:rsid w:val="00B155E2"/>
    <w:rsid w:val="00B1694C"/>
    <w:rsid w:val="00B27AA7"/>
    <w:rsid w:val="00B37A1E"/>
    <w:rsid w:val="00B4445E"/>
    <w:rsid w:val="00B450D8"/>
    <w:rsid w:val="00B56A66"/>
    <w:rsid w:val="00B71564"/>
    <w:rsid w:val="00B776D7"/>
    <w:rsid w:val="00B811D8"/>
    <w:rsid w:val="00B82DF4"/>
    <w:rsid w:val="00B906A3"/>
    <w:rsid w:val="00B92D20"/>
    <w:rsid w:val="00B974E0"/>
    <w:rsid w:val="00BA05B3"/>
    <w:rsid w:val="00BA0F84"/>
    <w:rsid w:val="00BA195A"/>
    <w:rsid w:val="00BB073A"/>
    <w:rsid w:val="00BB3997"/>
    <w:rsid w:val="00BE4EFA"/>
    <w:rsid w:val="00BF19B5"/>
    <w:rsid w:val="00BF6DBF"/>
    <w:rsid w:val="00BF704B"/>
    <w:rsid w:val="00BF7522"/>
    <w:rsid w:val="00C015BC"/>
    <w:rsid w:val="00C15597"/>
    <w:rsid w:val="00C2521C"/>
    <w:rsid w:val="00C3325D"/>
    <w:rsid w:val="00C54370"/>
    <w:rsid w:val="00C65AAF"/>
    <w:rsid w:val="00C74BF1"/>
    <w:rsid w:val="00C76861"/>
    <w:rsid w:val="00C85322"/>
    <w:rsid w:val="00CA07C9"/>
    <w:rsid w:val="00CA343D"/>
    <w:rsid w:val="00CA4E1D"/>
    <w:rsid w:val="00CB0AB8"/>
    <w:rsid w:val="00CC7ED4"/>
    <w:rsid w:val="00CE0279"/>
    <w:rsid w:val="00CE19DD"/>
    <w:rsid w:val="00CE46A0"/>
    <w:rsid w:val="00CE4BC5"/>
    <w:rsid w:val="00CE7111"/>
    <w:rsid w:val="00CE7A2A"/>
    <w:rsid w:val="00D006FB"/>
    <w:rsid w:val="00D16330"/>
    <w:rsid w:val="00D20E6D"/>
    <w:rsid w:val="00D2354D"/>
    <w:rsid w:val="00D36EF9"/>
    <w:rsid w:val="00D4776C"/>
    <w:rsid w:val="00D509CA"/>
    <w:rsid w:val="00D530F5"/>
    <w:rsid w:val="00D76385"/>
    <w:rsid w:val="00D7717F"/>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0302A"/>
    <w:rsid w:val="00E16797"/>
    <w:rsid w:val="00E3704A"/>
    <w:rsid w:val="00E379A7"/>
    <w:rsid w:val="00E41DAA"/>
    <w:rsid w:val="00E5642A"/>
    <w:rsid w:val="00E6359A"/>
    <w:rsid w:val="00E652B8"/>
    <w:rsid w:val="00E672F5"/>
    <w:rsid w:val="00E92DAA"/>
    <w:rsid w:val="00E97E4C"/>
    <w:rsid w:val="00EA1AD3"/>
    <w:rsid w:val="00EA3F75"/>
    <w:rsid w:val="00EB096A"/>
    <w:rsid w:val="00EB5DD1"/>
    <w:rsid w:val="00EB72EF"/>
    <w:rsid w:val="00EC351B"/>
    <w:rsid w:val="00ED174F"/>
    <w:rsid w:val="00ED7227"/>
    <w:rsid w:val="00EE6379"/>
    <w:rsid w:val="00EF70E6"/>
    <w:rsid w:val="00EF7A00"/>
    <w:rsid w:val="00F015BD"/>
    <w:rsid w:val="00F01C17"/>
    <w:rsid w:val="00F036AA"/>
    <w:rsid w:val="00F110A0"/>
    <w:rsid w:val="00F174E8"/>
    <w:rsid w:val="00F205F7"/>
    <w:rsid w:val="00F21415"/>
    <w:rsid w:val="00F30767"/>
    <w:rsid w:val="00F32E1B"/>
    <w:rsid w:val="00F335D8"/>
    <w:rsid w:val="00F33FCA"/>
    <w:rsid w:val="00F34506"/>
    <w:rsid w:val="00F36262"/>
    <w:rsid w:val="00F53C49"/>
    <w:rsid w:val="00F61F0C"/>
    <w:rsid w:val="00F64500"/>
    <w:rsid w:val="00F676DE"/>
    <w:rsid w:val="00F742EB"/>
    <w:rsid w:val="00F76A3C"/>
    <w:rsid w:val="00F7744D"/>
    <w:rsid w:val="00F87D62"/>
    <w:rsid w:val="00F92D3E"/>
    <w:rsid w:val="00FA0931"/>
    <w:rsid w:val="00FB1583"/>
    <w:rsid w:val="00FD24C8"/>
    <w:rsid w:val="00FE1473"/>
    <w:rsid w:val="00FE1BDB"/>
    <w:rsid w:val="00FE3746"/>
    <w:rsid w:val="00FE445F"/>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doi.org/10.1111/jomf.13029"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link.springer.com/article/10.1007/s40865-026-00298-9"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profiles.utdallas.edu/yjle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086/449290" TargetMode="External"/><Relationship Id="rId20" Type="http://schemas.openxmlformats.org/officeDocument/2006/relationships/hyperlink" Target="https://link.springer.com/article/10.1007/s40865-018-0102-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hyperlink" Target="https://doi.org/10.1007/s10940-010-9099-1" TargetMode="External"/><Relationship Id="rId10" Type="http://schemas.openxmlformats.org/officeDocument/2006/relationships/endnotes" Target="endnotes.xml"/><Relationship Id="rId19" Type="http://schemas.openxmlformats.org/officeDocument/2006/relationships/hyperlink" Target="https://www.tandfonline.com/doi/full/10.1080/00273171.2024.242822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link.springer.com/article/10.1007/s40865-022-00221-y"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customXml/itemProps2.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4.xml><?xml version="1.0" encoding="utf-8"?>
<ds:datastoreItem xmlns:ds="http://schemas.openxmlformats.org/officeDocument/2006/customXml" ds:itemID="{78175024-5DAF-4A82-9C17-26E21638936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662</TotalTime>
  <Pages>5</Pages>
  <Words>2417</Words>
  <Characters>13781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Charles Lanfear</cp:lastModifiedBy>
  <cp:revision>211</cp:revision>
  <dcterms:created xsi:type="dcterms:W3CDTF">2024-04-16T13:23:00Z</dcterms:created>
  <dcterms:modified xsi:type="dcterms:W3CDTF">2026-05-25T17:18:00Z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