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31F02F17" w14:textId="7D94CB26" w:rsidR="0076191C" w:rsidRDefault="000C6964" w:rsidP="008D3A0B">
      <w:pPr>
        <w:pStyle w:val="ListParagraph"/>
        <w:numPr>
          <w:ilvl w:val="0"/>
          <w:numId w:val="8"/>
        </w:numPr>
        <w:spacing w:after="120" w:line="240" w:lineRule="auto"/>
        <w:rPr>
          <w:rFonts w:ascii="Garamond" w:hAnsi="Garamond"/>
        </w:rPr>
      </w:pPr>
      <w:r>
        <w:rPr>
          <w:rFonts w:ascii="Garamond" w:hAnsi="Garamond"/>
        </w:rPr>
        <w:t xml:space="preserve">CCL: </w:t>
      </w:r>
      <w:r w:rsidR="0076191C">
        <w:rPr>
          <w:rFonts w:ascii="Garamond" w:hAnsi="Garamond"/>
        </w:rPr>
        <w:t xml:space="preserve">I am a bit resistant to spending too much time discussing </w:t>
      </w:r>
      <w:r w:rsidR="00E16797">
        <w:rPr>
          <w:rFonts w:ascii="Garamond" w:hAnsi="Garamond"/>
        </w:rPr>
        <w:t>empirical</w:t>
      </w:r>
      <w:r w:rsidR="0076191C">
        <w:rPr>
          <w:rFonts w:ascii="Garamond" w:hAnsi="Garamond"/>
        </w:rPr>
        <w:t xml:space="preserve"> literature</w:t>
      </w:r>
      <w:r w:rsidR="00E16797">
        <w:rPr>
          <w:rFonts w:ascii="Garamond" w:hAnsi="Garamond"/>
        </w:rPr>
        <w:t xml:space="preserve"> on these topics</w:t>
      </w:r>
      <w:r w:rsidR="0076191C">
        <w:rPr>
          <w:rFonts w:ascii="Garamond" w:hAnsi="Garamond"/>
        </w:rPr>
        <w:t>; we’re using these examples to contextualize methods no</w:t>
      </w:r>
      <w:r w:rsidR="00951553">
        <w:rPr>
          <w:rFonts w:ascii="Garamond" w:hAnsi="Garamond"/>
        </w:rPr>
        <w:t>t focus on methodological problems in these specific literatures.</w:t>
      </w:r>
      <w:r w:rsidR="00EB096A">
        <w:rPr>
          <w:rFonts w:ascii="Garamond" w:hAnsi="Garamond"/>
        </w:rPr>
        <w:t xml:space="preserve"> </w:t>
      </w:r>
      <w:r w:rsidR="00D7717F">
        <w:rPr>
          <w:rFonts w:ascii="Garamond" w:hAnsi="Garamond"/>
        </w:rPr>
        <w:t>We</w:t>
      </w:r>
      <w:r w:rsidR="00E6359A">
        <w:rPr>
          <w:rFonts w:ascii="Garamond" w:hAnsi="Garamond"/>
        </w:rPr>
        <w:t xml:space="preserve"> are not even trying to motivate readers to </w:t>
      </w:r>
      <w:r w:rsidR="00D7717F">
        <w:rPr>
          <w:rFonts w:ascii="Garamond" w:hAnsi="Garamond"/>
        </w:rPr>
        <w:t xml:space="preserve">be </w:t>
      </w:r>
      <w:r w:rsidR="00E6359A">
        <w:rPr>
          <w:rFonts w:ascii="Garamond" w:hAnsi="Garamond"/>
        </w:rPr>
        <w:t xml:space="preserve">concerned with reciprocality. We’re targeting people </w:t>
      </w:r>
      <w:r w:rsidR="00CC7ED4">
        <w:rPr>
          <w:rFonts w:ascii="Garamond" w:hAnsi="Garamond"/>
        </w:rPr>
        <w:t xml:space="preserve">already worried about or </w:t>
      </w:r>
      <w:r w:rsidR="00E6359A">
        <w:rPr>
          <w:rFonts w:ascii="Garamond" w:hAnsi="Garamond"/>
        </w:rPr>
        <w:t xml:space="preserve">interested in reciprocality </w:t>
      </w:r>
      <w:r w:rsidR="003A49B9">
        <w:rPr>
          <w:rFonts w:ascii="Garamond" w:hAnsi="Garamond"/>
        </w:rPr>
        <w:t>and who want to d</w:t>
      </w:r>
      <w:r w:rsidR="00A803C2">
        <w:rPr>
          <w:rFonts w:ascii="Garamond" w:hAnsi="Garamond"/>
        </w:rPr>
        <w:t>eal with</w:t>
      </w:r>
      <w:r w:rsidR="003A49B9">
        <w:rPr>
          <w:rFonts w:ascii="Garamond" w:hAnsi="Garamond"/>
        </w:rPr>
        <w:t xml:space="preserve"> it correctly. </w:t>
      </w:r>
    </w:p>
    <w:p w14:paraId="18C06366" w14:textId="4FCE21B6"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54DC503D" w14:textId="1F40DC08" w:rsidR="00A9289C" w:rsidRPr="008D3A0B" w:rsidRDefault="00A9289C" w:rsidP="00584DE1">
      <w:pPr>
        <w:pStyle w:val="ListParagraph"/>
        <w:numPr>
          <w:ilvl w:val="1"/>
          <w:numId w:val="8"/>
        </w:numPr>
        <w:spacing w:after="120" w:line="240" w:lineRule="auto"/>
        <w:rPr>
          <w:rFonts w:ascii="Garamond" w:hAnsi="Garamond"/>
        </w:rPr>
      </w:pPr>
      <w:r>
        <w:rPr>
          <w:rFonts w:ascii="Garamond" w:hAnsi="Garamond"/>
        </w:rPr>
        <w:t>I was not sure what Solymosi paper they’re referring to but I did see some potentially relevant stuff from Kronkvist</w:t>
      </w:r>
      <w:r w:rsidR="00576D44">
        <w:rPr>
          <w:rFonts w:ascii="Garamond" w:hAnsi="Garamond"/>
        </w:rPr>
        <w:t>.</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2F1FAFB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 we have edited this</w:t>
      </w:r>
      <w:r w:rsidR="0082689B">
        <w:rPr>
          <w:rFonts w:ascii="Garamond" w:hAnsi="Garamond"/>
        </w:rPr>
        <w:t xml:space="preserve"> section</w:t>
      </w:r>
      <w:r>
        <w:rPr>
          <w:rFonts w:ascii="Garamond" w:hAnsi="Garamond"/>
        </w:rPr>
        <w:t xml:space="preserve"> to emphasize that, like 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5CF509F0" w14:textId="00A9FE25" w:rsidR="00466718" w:rsidRDefault="00FD24C8" w:rsidP="00041985">
      <w:pPr>
        <w:pStyle w:val="ListParagraph"/>
        <w:numPr>
          <w:ilvl w:val="0"/>
          <w:numId w:val="8"/>
        </w:numPr>
        <w:spacing w:after="120" w:line="240" w:lineRule="auto"/>
        <w:rPr>
          <w:rFonts w:ascii="Garamond" w:hAnsi="Garamond"/>
        </w:rPr>
      </w:pPr>
      <w:r>
        <w:rPr>
          <w:rFonts w:ascii="Garamond" w:hAnsi="Garamond"/>
        </w:rPr>
        <w:t xml:space="preserve">The substantive examples here are meant to serve as illustrations for the methodological considerations rather than as a focus of the paper. As a result, we have instead broadened the </w:t>
      </w:r>
      <w:r w:rsidR="00BF704B">
        <w:rPr>
          <w:rFonts w:ascii="Garamond" w:hAnsi="Garamond"/>
        </w:rPr>
        <w:t>discussion of</w:t>
      </w:r>
      <w:r>
        <w:rPr>
          <w:rFonts w:ascii="Garamond" w:hAnsi="Garamond"/>
        </w:rPr>
        <w:t xml:space="preserve"> crime -&gt; employment effects to </w:t>
      </w:r>
      <w:r w:rsidR="00BB073A">
        <w:rPr>
          <w:rFonts w:ascii="Garamond" w:hAnsi="Garamond"/>
        </w:rPr>
        <w:t xml:space="preserve">include </w:t>
      </w:r>
      <w:r w:rsidR="00BA0F84">
        <w:rPr>
          <w:rFonts w:ascii="Garamond" w:hAnsi="Garamond"/>
        </w:rPr>
        <w:t>substitution</w:t>
      </w:r>
      <w:r w:rsidR="00BE4EFA">
        <w:rPr>
          <w:rFonts w:ascii="Garamond" w:hAnsi="Garamond"/>
        </w:rPr>
        <w:t xml:space="preserve">, human capital, and job acquisition to </w:t>
      </w:r>
      <w:r w:rsidR="002369EB">
        <w:rPr>
          <w:rFonts w:ascii="Garamond" w:hAnsi="Garamond"/>
        </w:rPr>
        <w:t xml:space="preserve">avoid dwelling on </w:t>
      </w:r>
      <w:r w:rsidR="0063197B">
        <w:rPr>
          <w:rFonts w:ascii="Garamond" w:hAnsi="Garamond"/>
        </w:rPr>
        <w:t>job loss</w:t>
      </w:r>
      <w:r w:rsidR="00964608">
        <w:rPr>
          <w:rFonts w:ascii="Garamond" w:hAnsi="Garamond"/>
        </w:rPr>
        <w:t>.</w:t>
      </w:r>
    </w:p>
    <w:p w14:paraId="6169CB56" w14:textId="12CBD262" w:rsidR="00603BD2" w:rsidRDefault="00603BD2" w:rsidP="00603BD2">
      <w:pPr>
        <w:pStyle w:val="ListParagraph"/>
        <w:numPr>
          <w:ilvl w:val="1"/>
          <w:numId w:val="8"/>
        </w:numPr>
        <w:spacing w:after="120" w:line="240" w:lineRule="auto"/>
        <w:rPr>
          <w:rFonts w:ascii="Garamond" w:hAnsi="Garamond"/>
        </w:rPr>
      </w:pPr>
      <w:r>
        <w:rPr>
          <w:rFonts w:ascii="Garamond" w:hAnsi="Garamond"/>
        </w:rPr>
        <w:t xml:space="preserve">Actually, the more I think about it, I have no idea why they are concerned about the discrete event. It is just a binary treatment like </w:t>
      </w:r>
      <w:r w:rsidR="007F24A3">
        <w:rPr>
          <w:rFonts w:ascii="Garamond" w:hAnsi="Garamond"/>
        </w:rPr>
        <w:t>other life course transitions.</w:t>
      </w:r>
      <w:r w:rsidR="00354704">
        <w:rPr>
          <w:rFonts w:ascii="Garamond" w:hAnsi="Garamond"/>
        </w:rPr>
        <w:t xml:space="preserve"> Is their concern it probably can only happen once in a period?</w:t>
      </w:r>
    </w:p>
    <w:p w14:paraId="26070BA1" w14:textId="57A8F327" w:rsidR="008A42DA" w:rsidRPr="00463247" w:rsidRDefault="008A42DA" w:rsidP="008A42DA">
      <w:pPr>
        <w:pStyle w:val="ListParagraph"/>
        <w:numPr>
          <w:ilvl w:val="0"/>
          <w:numId w:val="8"/>
        </w:numPr>
        <w:spacing w:after="120" w:line="240" w:lineRule="auto"/>
        <w:rPr>
          <w:rFonts w:ascii="Garamond" w:hAnsi="Garamond"/>
        </w:rPr>
      </w:pPr>
      <w:r>
        <w:rPr>
          <w:rFonts w:ascii="Garamond" w:hAnsi="Garamond"/>
        </w:rPr>
        <w:t xml:space="preserve">That said, </w:t>
      </w:r>
      <w:r w:rsidR="002A77D0">
        <w:rPr>
          <w:rFonts w:ascii="Garamond" w:hAnsi="Garamond"/>
        </w:rPr>
        <w:t>we would argue that it is</w:t>
      </w:r>
      <w:r>
        <w:rPr>
          <w:rFonts w:ascii="Garamond" w:hAnsi="Garamond"/>
        </w:rPr>
        <w:t xml:space="preserve"> theory and measurement that determines whether job loss as a discrete event is problematic or not in any given analysis.</w:t>
      </w:r>
      <w:r w:rsidR="00A75D98">
        <w:rPr>
          <w:rFonts w:ascii="Garamond" w:hAnsi="Garamond"/>
        </w:rPr>
        <w:t xml:space="preserve"> </w:t>
      </w:r>
      <w:r w:rsidR="004E5439">
        <w:rPr>
          <w:rFonts w:ascii="Garamond" w:hAnsi="Garamond"/>
        </w:rPr>
        <w:t xml:space="preserve">If employment is believe to impact offending through occupied time (i.e., a contemporaneous effect), </w:t>
      </w:r>
      <w:r w:rsidR="00FE1473">
        <w:rPr>
          <w:rFonts w:ascii="Garamond" w:hAnsi="Garamond"/>
        </w:rPr>
        <w:t>it</w:t>
      </w:r>
      <w:r w:rsidR="00C54370">
        <w:rPr>
          <w:rFonts w:ascii="Garamond" w:hAnsi="Garamond"/>
        </w:rPr>
        <w:t xml:space="preserve"> raises </w:t>
      </w:r>
      <w:r w:rsidR="00FE1473">
        <w:rPr>
          <w:rFonts w:ascii="Garamond" w:hAnsi="Garamond"/>
        </w:rPr>
        <w:t xml:space="preserve">the </w:t>
      </w:r>
      <w:r w:rsidR="00C54370">
        <w:rPr>
          <w:rFonts w:ascii="Garamond" w:hAnsi="Garamond"/>
        </w:rPr>
        <w:t>composite period variable problems we discuss</w:t>
      </w:r>
      <w:r w:rsidR="00A60B1B">
        <w:rPr>
          <w:rFonts w:ascii="Garamond" w:hAnsi="Garamond"/>
        </w:rPr>
        <w:t xml:space="preserve">, </w:t>
      </w:r>
      <w:r w:rsidR="003E4DCA">
        <w:rPr>
          <w:rFonts w:ascii="Garamond" w:hAnsi="Garamond"/>
        </w:rPr>
        <w:t xml:space="preserve">but with sufficient granularity (e.g., daily) it would reduce to a simple binary treatment </w:t>
      </w:r>
      <w:r w:rsidR="001225DA">
        <w:rPr>
          <w:rFonts w:ascii="Garamond" w:hAnsi="Garamond"/>
        </w:rPr>
        <w:t xml:space="preserve">in any given time period that is </w:t>
      </w:r>
      <w:r w:rsidR="00286529">
        <w:rPr>
          <w:rFonts w:ascii="Garamond" w:hAnsi="Garamond"/>
        </w:rPr>
        <w:t>amenable to a conventional CLPM.</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49425" w14:textId="2344BC7B" w:rsidR="00A6026D" w:rsidRPr="00A6026D" w:rsidRDefault="00A6026D" w:rsidP="00A6026D">
      <w:pPr>
        <w:spacing w:after="120" w:line="240" w:lineRule="auto"/>
        <w:jc w:val="both"/>
        <w:rPr>
          <w:rFonts w:ascii="Garamond" w:hAnsi="Garamond"/>
          <w:color w:val="EE0000"/>
        </w:rPr>
      </w:pPr>
      <w:r w:rsidRPr="00A6026D">
        <w:rPr>
          <w:rFonts w:ascii="Garamond" w:hAnsi="Garamond"/>
          <w:color w:val="EE0000"/>
        </w:rPr>
        <w:t xml:space="preserve">We thank the reviewer for prompting us to develop this point. We have </w:t>
      </w:r>
      <w:r w:rsidR="00076198">
        <w:rPr>
          <w:rFonts w:ascii="Garamond" w:hAnsi="Garamond"/>
          <w:color w:val="EE0000"/>
        </w:rPr>
        <w:t xml:space="preserve">now included an </w:t>
      </w:r>
      <w:r w:rsidRPr="00A6026D">
        <w:rPr>
          <w:rFonts w:ascii="Garamond" w:hAnsi="Garamond"/>
          <w:color w:val="EE0000"/>
        </w:rPr>
        <w:t>expanded footnote on continuous-time models</w:t>
      </w:r>
      <w:r w:rsidR="00076198">
        <w:rPr>
          <w:rFonts w:ascii="Garamond" w:hAnsi="Garamond"/>
          <w:color w:val="EE0000"/>
        </w:rPr>
        <w:t xml:space="preserve"> (footnote ## in page XX)</w:t>
      </w:r>
      <w:r w:rsidRPr="00A6026D">
        <w:rPr>
          <w:rFonts w:ascii="Garamond" w:hAnsi="Garamond"/>
          <w:color w:val="EE0000"/>
        </w:rPr>
        <w:t xml:space="preserve"> that (i) makes explicit the 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w:t>
      </w:r>
      <w:r w:rsidRPr="00A6026D">
        <w:rPr>
          <w:rFonts w:ascii="Garamond" w:hAnsi="Garamond"/>
          <w:color w:val="EE0000"/>
        </w:rPr>
        <w:lastRenderedPageBreak/>
        <w:t>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7E41DA9C" w14:textId="1FF833C9" w:rsidR="007230AF" w:rsidRPr="007230AF" w:rsidRDefault="007230AF" w:rsidP="007230AF">
      <w:pPr>
        <w:spacing w:after="120" w:line="240" w:lineRule="auto"/>
        <w:jc w:val="both"/>
        <w:rPr>
          <w:rFonts w:ascii="Garamond" w:hAnsi="Garamond"/>
          <w:color w:val="EE0000"/>
        </w:rPr>
      </w:pPr>
      <w:r w:rsidRPr="007230AF">
        <w:rPr>
          <w:rFonts w:ascii="Garamond" w:hAnsi="Garamond"/>
          <w:color w:val="EE0000"/>
        </w:rPr>
        <w:t xml:space="preserve">We have added text to the section introducing instantaneous and period measures </w:t>
      </w:r>
      <w:r w:rsidRPr="007230AF">
        <w:rPr>
          <w:rFonts w:ascii="Garamond" w:hAnsi="Garamond"/>
          <w:color w:val="EE0000"/>
        </w:rPr>
        <w:t xml:space="preserve">(p. XX) </w:t>
      </w:r>
      <w:r w:rsidRPr="007230AF">
        <w:rPr>
          <w:rFonts w:ascii="Garamond" w:hAnsi="Garamond"/>
          <w:color w:val="EE0000"/>
        </w:rPr>
        <w:t>that (i)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4D38E6C1" w14:textId="1C41D19D" w:rsidR="00AB02C1" w:rsidRDefault="00AB02C1" w:rsidP="000C7195">
      <w:pPr>
        <w:pStyle w:val="ListParagraph"/>
        <w:numPr>
          <w:ilvl w:val="0"/>
          <w:numId w:val="8"/>
        </w:numPr>
        <w:spacing w:after="120" w:line="240" w:lineRule="auto"/>
        <w:rPr>
          <w:rFonts w:ascii="Garamond" w:hAnsi="Garamond"/>
        </w:rPr>
      </w:pPr>
      <w:r>
        <w:rPr>
          <w:rFonts w:ascii="Garamond" w:hAnsi="Garamond"/>
        </w:rPr>
        <w:t>We have added some examples of research using ML-SEM both in developmental and life course criminology and criminology more broadly.</w:t>
      </w:r>
    </w:p>
    <w:p w14:paraId="6382E590" w14:textId="4D30339D"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lastRenderedPageBreak/>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Results 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36AF9AEF" w:rsidR="00E5642A" w:rsidRPr="00C13E18" w:rsidRDefault="00D20E6D" w:rsidP="00D20E6D">
      <w:pPr>
        <w:spacing w:after="120" w:line="240" w:lineRule="auto"/>
        <w:rPr>
          <w:rFonts w:ascii="Garamond" w:hAnsi="Garamond"/>
          <w:color w:val="EE0000"/>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r w:rsidR="00C13E18">
        <w:rPr>
          <w:rFonts w:ascii="Garamond" w:hAnsi="Garamond"/>
          <w:color w:val="EE0000"/>
        </w:rPr>
        <w:t>(still doing).</w:t>
      </w:r>
    </w:p>
    <w:p w14:paraId="5653CEEA" w14:textId="4A2D6B84" w:rsidR="00CA343D" w:rsidRDefault="00B974E0" w:rsidP="00E5642A">
      <w:pPr>
        <w:pStyle w:val="ListParagraph"/>
        <w:numPr>
          <w:ilvl w:val="0"/>
          <w:numId w:val="8"/>
        </w:numPr>
        <w:spacing w:after="120" w:line="240" w:lineRule="auto"/>
        <w:rPr>
          <w:rFonts w:ascii="Garamond" w:hAnsi="Garamond"/>
        </w:rPr>
      </w:pPr>
      <w:r>
        <w:rPr>
          <w:rFonts w:ascii="Garamond" w:hAnsi="Garamond"/>
        </w:rPr>
        <w:t xml:space="preserve">CCL: </w:t>
      </w:r>
      <w:r w:rsidR="00CA343D">
        <w:rPr>
          <w:rFonts w:ascii="Garamond" w:hAnsi="Garamond"/>
        </w:rPr>
        <w:t>I softened this slightly as it is difficult to know how common the issue is as no one has systematically examined it (call for research!) and many studies do not provide sufficient information to fully examine the model specification.</w:t>
      </w:r>
      <w:r w:rsidR="005D1A89">
        <w:rPr>
          <w:rFonts w:ascii="Garamond" w:hAnsi="Garamond"/>
        </w:rPr>
        <w:t xml:space="preserve"> I added this at end of temporal order section.</w:t>
      </w:r>
    </w:p>
    <w:p w14:paraId="2F15E06E" w14:textId="2DF976EB"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w:t>
      </w:r>
      <w:r w:rsidR="00F205F7" w:rsidRPr="00F205F7">
        <w:rPr>
          <w:rFonts w:ascii="Garamond" w:hAnsi="Garamond"/>
        </w:rPr>
        <w:lastRenderedPageBreak/>
        <w:t xml:space="preserve">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64C75EED" w14:textId="1F96E1C7" w:rsidR="00C2521C" w:rsidRPr="00E5642A" w:rsidRDefault="00C2521C" w:rsidP="005E336A">
      <w:pPr>
        <w:pStyle w:val="ListParagraph"/>
        <w:numPr>
          <w:ilvl w:val="1"/>
          <w:numId w:val="8"/>
        </w:numPr>
        <w:spacing w:after="120" w:line="240" w:lineRule="auto"/>
        <w:rPr>
          <w:rFonts w:ascii="Garamond" w:hAnsi="Garamond"/>
        </w:rPr>
      </w:pPr>
      <w:r>
        <w:rPr>
          <w:rFonts w:ascii="Garamond" w:hAnsi="Garamond"/>
          <w:b/>
          <w:bCs/>
        </w:rPr>
        <w:t>What about lack of intertemporal variation?</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Default="0008433F" w:rsidP="00D20E6D">
      <w:pPr>
        <w:pStyle w:val="ListParagraph"/>
        <w:numPr>
          <w:ilvl w:val="0"/>
          <w:numId w:val="8"/>
        </w:numPr>
        <w:spacing w:after="120" w:line="240" w:lineRule="auto"/>
        <w:rPr>
          <w:rFonts w:ascii="Garamond" w:hAnsi="Garamond"/>
        </w:rPr>
      </w:pPr>
      <w:r>
        <w:rPr>
          <w:rFonts w:ascii="Garamond" w:hAnsi="Garamond"/>
        </w:rPr>
        <w:t>Might be pub bias toward sign flips</w:t>
      </w:r>
    </w:p>
    <w:p w14:paraId="63826D7A" w14:textId="77777777" w:rsidR="00C13E18" w:rsidRDefault="00C13E18" w:rsidP="00C13E18">
      <w:pPr>
        <w:spacing w:after="120" w:line="240" w:lineRule="auto"/>
        <w:rPr>
          <w:rFonts w:ascii="Garamond" w:hAnsi="Garamond"/>
        </w:rPr>
      </w:pPr>
    </w:p>
    <w:p w14:paraId="4A46C0F3" w14:textId="488221D7" w:rsidR="00C13E18" w:rsidRDefault="00C13E18" w:rsidP="00C13E18">
      <w:pPr>
        <w:spacing w:after="120" w:line="240" w:lineRule="auto"/>
        <w:jc w:val="both"/>
        <w:rPr>
          <w:rFonts w:ascii="Garamond" w:hAnsi="Garamond"/>
          <w:color w:val="EE0000"/>
        </w:rPr>
      </w:pPr>
      <w:r w:rsidRPr="00C13E18">
        <w:rPr>
          <w:rFonts w:ascii="Garamond" w:hAnsi="Garamond"/>
          <w:color w:val="EE0000"/>
        </w:rPr>
        <w:t xml:space="preserve">We have </w:t>
      </w:r>
      <w:r>
        <w:rPr>
          <w:rFonts w:ascii="Garamond" w:hAnsi="Garamond"/>
          <w:color w:val="EE0000"/>
        </w:rPr>
        <w:t>expanded</w:t>
      </w:r>
      <w:r w:rsidRPr="00C13E18">
        <w:rPr>
          <w:rFonts w:ascii="Garamond" w:hAnsi="Garamond"/>
          <w:color w:val="EE0000"/>
        </w:rPr>
        <w:t xml:space="preserve"> a worked illustration of the Vaisey–Miles sign-flip result in Issue 2,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491DFCEA" w14:textId="172A25DA" w:rsidR="00C13E18" w:rsidRPr="00C13E18" w:rsidRDefault="00C13E18" w:rsidP="00C13E18">
      <w:pPr>
        <w:spacing w:after="120" w:line="240" w:lineRule="auto"/>
        <w:jc w:val="both"/>
        <w:rPr>
          <w:rFonts w:ascii="Garamond" w:hAnsi="Garamond"/>
          <w:color w:val="EE0000"/>
        </w:rPr>
      </w:pPr>
      <w:r>
        <w:rPr>
          <w:rFonts w:ascii="Garamond" w:hAnsi="Garamond"/>
          <w:color w:val="EE0000"/>
        </w:rPr>
        <w:t>Still doing: intertemporal variation.</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B0A2F" w14:textId="77777777" w:rsidR="00D25264" w:rsidRDefault="00D25264" w:rsidP="00084462">
      <w:pPr>
        <w:spacing w:after="0" w:line="240" w:lineRule="auto"/>
      </w:pPr>
      <w:r>
        <w:separator/>
      </w:r>
    </w:p>
  </w:endnote>
  <w:endnote w:type="continuationSeparator" w:id="0">
    <w:p w14:paraId="5694E7C1" w14:textId="77777777" w:rsidR="00D25264" w:rsidRDefault="00D25264"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2A321" w14:textId="77777777" w:rsidR="00D25264" w:rsidRDefault="00D25264" w:rsidP="00084462">
      <w:pPr>
        <w:spacing w:after="0" w:line="240" w:lineRule="auto"/>
      </w:pPr>
      <w:r>
        <w:separator/>
      </w:r>
    </w:p>
  </w:footnote>
  <w:footnote w:type="continuationSeparator" w:id="0">
    <w:p w14:paraId="79BDE4DC" w14:textId="77777777" w:rsidR="00D25264" w:rsidRDefault="00D25264"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2A5"/>
    <w:rsid w:val="000A3052"/>
    <w:rsid w:val="000A32DD"/>
    <w:rsid w:val="000C6964"/>
    <w:rsid w:val="000C7195"/>
    <w:rsid w:val="000D080A"/>
    <w:rsid w:val="000D37E6"/>
    <w:rsid w:val="000E0178"/>
    <w:rsid w:val="000F516A"/>
    <w:rsid w:val="00100C1C"/>
    <w:rsid w:val="00104554"/>
    <w:rsid w:val="001225DA"/>
    <w:rsid w:val="0012329B"/>
    <w:rsid w:val="00125203"/>
    <w:rsid w:val="001364DE"/>
    <w:rsid w:val="00141C5F"/>
    <w:rsid w:val="00152A8F"/>
    <w:rsid w:val="00155B40"/>
    <w:rsid w:val="00160357"/>
    <w:rsid w:val="00160574"/>
    <w:rsid w:val="001764E2"/>
    <w:rsid w:val="0018160A"/>
    <w:rsid w:val="00195B59"/>
    <w:rsid w:val="001D0129"/>
    <w:rsid w:val="001D1495"/>
    <w:rsid w:val="001D30AF"/>
    <w:rsid w:val="001D4C2C"/>
    <w:rsid w:val="001F05CB"/>
    <w:rsid w:val="002155F6"/>
    <w:rsid w:val="002369EB"/>
    <w:rsid w:val="00237407"/>
    <w:rsid w:val="00237870"/>
    <w:rsid w:val="00240CDF"/>
    <w:rsid w:val="00253C68"/>
    <w:rsid w:val="0025714C"/>
    <w:rsid w:val="0026639C"/>
    <w:rsid w:val="0027282B"/>
    <w:rsid w:val="00273839"/>
    <w:rsid w:val="0027579C"/>
    <w:rsid w:val="00286529"/>
    <w:rsid w:val="00295982"/>
    <w:rsid w:val="0029706E"/>
    <w:rsid w:val="002A77D0"/>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54704"/>
    <w:rsid w:val="00363A4A"/>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68F4"/>
    <w:rsid w:val="003D6C5B"/>
    <w:rsid w:val="003E4DCA"/>
    <w:rsid w:val="004035E5"/>
    <w:rsid w:val="004106FA"/>
    <w:rsid w:val="0042250B"/>
    <w:rsid w:val="00423F66"/>
    <w:rsid w:val="00425008"/>
    <w:rsid w:val="004319C3"/>
    <w:rsid w:val="00440D51"/>
    <w:rsid w:val="004474DE"/>
    <w:rsid w:val="00447552"/>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E5439"/>
    <w:rsid w:val="004F50E1"/>
    <w:rsid w:val="004F6678"/>
    <w:rsid w:val="00501438"/>
    <w:rsid w:val="00506A37"/>
    <w:rsid w:val="005205BC"/>
    <w:rsid w:val="00520B45"/>
    <w:rsid w:val="005321F3"/>
    <w:rsid w:val="005543D7"/>
    <w:rsid w:val="005574A3"/>
    <w:rsid w:val="0057328B"/>
    <w:rsid w:val="00576D44"/>
    <w:rsid w:val="0058241D"/>
    <w:rsid w:val="00584DE1"/>
    <w:rsid w:val="00585CE0"/>
    <w:rsid w:val="00595C68"/>
    <w:rsid w:val="005A0A45"/>
    <w:rsid w:val="005A285D"/>
    <w:rsid w:val="005B0B4D"/>
    <w:rsid w:val="005B7378"/>
    <w:rsid w:val="005C7D66"/>
    <w:rsid w:val="005D1A89"/>
    <w:rsid w:val="005D1CE8"/>
    <w:rsid w:val="005D2B9D"/>
    <w:rsid w:val="005E336A"/>
    <w:rsid w:val="005F586D"/>
    <w:rsid w:val="00603BD2"/>
    <w:rsid w:val="00604745"/>
    <w:rsid w:val="00611617"/>
    <w:rsid w:val="00611789"/>
    <w:rsid w:val="0061194B"/>
    <w:rsid w:val="0063197B"/>
    <w:rsid w:val="00631A09"/>
    <w:rsid w:val="00637AA3"/>
    <w:rsid w:val="00640ED3"/>
    <w:rsid w:val="0064430B"/>
    <w:rsid w:val="0065208D"/>
    <w:rsid w:val="00655AAC"/>
    <w:rsid w:val="00660065"/>
    <w:rsid w:val="006631A3"/>
    <w:rsid w:val="006749E8"/>
    <w:rsid w:val="00680182"/>
    <w:rsid w:val="00690C4F"/>
    <w:rsid w:val="00694049"/>
    <w:rsid w:val="00694186"/>
    <w:rsid w:val="006A6D13"/>
    <w:rsid w:val="006B0C78"/>
    <w:rsid w:val="006D0EA9"/>
    <w:rsid w:val="006D1ACF"/>
    <w:rsid w:val="006F7754"/>
    <w:rsid w:val="0070138A"/>
    <w:rsid w:val="007112CF"/>
    <w:rsid w:val="007230AF"/>
    <w:rsid w:val="00751F93"/>
    <w:rsid w:val="00754B28"/>
    <w:rsid w:val="00756D58"/>
    <w:rsid w:val="007613FE"/>
    <w:rsid w:val="0076191C"/>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24A3"/>
    <w:rsid w:val="007F3F11"/>
    <w:rsid w:val="00806499"/>
    <w:rsid w:val="00821285"/>
    <w:rsid w:val="0082689B"/>
    <w:rsid w:val="008268F3"/>
    <w:rsid w:val="00845E3A"/>
    <w:rsid w:val="0086162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E1241"/>
    <w:rsid w:val="00903CD4"/>
    <w:rsid w:val="00904767"/>
    <w:rsid w:val="00915CDF"/>
    <w:rsid w:val="00915D56"/>
    <w:rsid w:val="00922576"/>
    <w:rsid w:val="00934975"/>
    <w:rsid w:val="00945C38"/>
    <w:rsid w:val="0095040E"/>
    <w:rsid w:val="00951553"/>
    <w:rsid w:val="00954C31"/>
    <w:rsid w:val="00964608"/>
    <w:rsid w:val="009770C6"/>
    <w:rsid w:val="0099192C"/>
    <w:rsid w:val="009A1D17"/>
    <w:rsid w:val="009A789C"/>
    <w:rsid w:val="009B50A3"/>
    <w:rsid w:val="009B5BE7"/>
    <w:rsid w:val="009C2CF4"/>
    <w:rsid w:val="009D1FD6"/>
    <w:rsid w:val="009D207C"/>
    <w:rsid w:val="009D5F8A"/>
    <w:rsid w:val="009E0E15"/>
    <w:rsid w:val="009E7605"/>
    <w:rsid w:val="009E7826"/>
    <w:rsid w:val="009F2BC5"/>
    <w:rsid w:val="00A0164C"/>
    <w:rsid w:val="00A0719C"/>
    <w:rsid w:val="00A12B73"/>
    <w:rsid w:val="00A141DB"/>
    <w:rsid w:val="00A24493"/>
    <w:rsid w:val="00A3213F"/>
    <w:rsid w:val="00A32C24"/>
    <w:rsid w:val="00A332F6"/>
    <w:rsid w:val="00A362B9"/>
    <w:rsid w:val="00A453E3"/>
    <w:rsid w:val="00A46A19"/>
    <w:rsid w:val="00A47FCE"/>
    <w:rsid w:val="00A560B8"/>
    <w:rsid w:val="00A6026D"/>
    <w:rsid w:val="00A60B1B"/>
    <w:rsid w:val="00A62AA8"/>
    <w:rsid w:val="00A65F32"/>
    <w:rsid w:val="00A66D24"/>
    <w:rsid w:val="00A75D98"/>
    <w:rsid w:val="00A803C2"/>
    <w:rsid w:val="00A859B3"/>
    <w:rsid w:val="00A9289C"/>
    <w:rsid w:val="00AA1649"/>
    <w:rsid w:val="00AA68A6"/>
    <w:rsid w:val="00AB02C1"/>
    <w:rsid w:val="00AB0DBC"/>
    <w:rsid w:val="00AC0D21"/>
    <w:rsid w:val="00AC56F2"/>
    <w:rsid w:val="00AC67E1"/>
    <w:rsid w:val="00AD7CEF"/>
    <w:rsid w:val="00AE0D19"/>
    <w:rsid w:val="00B00E43"/>
    <w:rsid w:val="00B155E2"/>
    <w:rsid w:val="00B1694C"/>
    <w:rsid w:val="00B27AA7"/>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E4EFA"/>
    <w:rsid w:val="00BF19B5"/>
    <w:rsid w:val="00BF6DBF"/>
    <w:rsid w:val="00BF704B"/>
    <w:rsid w:val="00BF7522"/>
    <w:rsid w:val="00C015BC"/>
    <w:rsid w:val="00C13E18"/>
    <w:rsid w:val="00C15597"/>
    <w:rsid w:val="00C2521C"/>
    <w:rsid w:val="00C3325D"/>
    <w:rsid w:val="00C54370"/>
    <w:rsid w:val="00C65AAF"/>
    <w:rsid w:val="00C74BF1"/>
    <w:rsid w:val="00C76861"/>
    <w:rsid w:val="00C85322"/>
    <w:rsid w:val="00CA07C9"/>
    <w:rsid w:val="00CA343D"/>
    <w:rsid w:val="00CA4E1D"/>
    <w:rsid w:val="00CB0AB8"/>
    <w:rsid w:val="00CC7ED4"/>
    <w:rsid w:val="00CE0279"/>
    <w:rsid w:val="00CE19DD"/>
    <w:rsid w:val="00CE46A0"/>
    <w:rsid w:val="00CE4BC5"/>
    <w:rsid w:val="00CE7111"/>
    <w:rsid w:val="00CE7A2A"/>
    <w:rsid w:val="00D006FB"/>
    <w:rsid w:val="00D16330"/>
    <w:rsid w:val="00D20E6D"/>
    <w:rsid w:val="00D2354D"/>
    <w:rsid w:val="00D25264"/>
    <w:rsid w:val="00D36EF9"/>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9A7"/>
    <w:rsid w:val="00E41DAA"/>
    <w:rsid w:val="00E5642A"/>
    <w:rsid w:val="00E6359A"/>
    <w:rsid w:val="00E652B8"/>
    <w:rsid w:val="00E672F5"/>
    <w:rsid w:val="00E92DAA"/>
    <w:rsid w:val="00E97E4C"/>
    <w:rsid w:val="00EA1AD3"/>
    <w:rsid w:val="00EA3F75"/>
    <w:rsid w:val="00EB096A"/>
    <w:rsid w:val="00EB5DD1"/>
    <w:rsid w:val="00EB72EF"/>
    <w:rsid w:val="00EC351B"/>
    <w:rsid w:val="00ED174F"/>
    <w:rsid w:val="00ED7227"/>
    <w:rsid w:val="00EE6379"/>
    <w:rsid w:val="00EF70E6"/>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D24C8"/>
    <w:rsid w:val="00FE147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3.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4.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5</Pages>
  <Words>2675</Words>
  <Characters>15251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Thiago Oliveira</cp:lastModifiedBy>
  <cp:revision>214</cp:revision>
  <dcterms:created xsi:type="dcterms:W3CDTF">2024-04-16T13:23:00Z</dcterms:created>
  <dcterms:modified xsi:type="dcterms:W3CDTF">2026-05-27T16:07:00Z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