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84462" w14:paraId="06418807" w14:textId="77777777" w:rsidTr="00084462">
        <w:tc>
          <w:tcPr>
            <w:tcW w:w="4675" w:type="dxa"/>
          </w:tcPr>
          <w:p w14:paraId="719E258A" w14:textId="2EEF711D" w:rsidR="00084462" w:rsidRDefault="00084462" w:rsidP="00084462">
            <w:pPr>
              <w:rPr>
                <w:rFonts w:ascii="Garamond" w:hAnsi="Garamond"/>
              </w:rPr>
            </w:pPr>
            <w:r>
              <w:rPr>
                <w:noProof/>
                <w:lang w:val="en-GB" w:eastAsia="en-GB"/>
              </w:rPr>
              <w:drawing>
                <wp:inline distT="0" distB="0" distL="0" distR="0" wp14:anchorId="32D32FCA" wp14:editId="420A98CD">
                  <wp:extent cx="1719618" cy="51428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2989" cy="530249"/>
                          </a:xfrm>
                          <a:prstGeom prst="rect">
                            <a:avLst/>
                          </a:prstGeom>
                          <a:noFill/>
                        </pic:spPr>
                      </pic:pic>
                    </a:graphicData>
                  </a:graphic>
                </wp:inline>
              </w:drawing>
            </w:r>
          </w:p>
        </w:tc>
        <w:tc>
          <w:tcPr>
            <w:tcW w:w="4675" w:type="dxa"/>
          </w:tcPr>
          <w:p w14:paraId="12E814FE" w14:textId="0C86ED80" w:rsidR="00084462" w:rsidRPr="00084462" w:rsidRDefault="00084462" w:rsidP="00084462">
            <w:pPr>
              <w:jc w:val="right"/>
              <w:rPr>
                <w:rFonts w:ascii="Garamond" w:hAnsi="Garamond"/>
              </w:rPr>
            </w:pPr>
            <w:r w:rsidRPr="00084462">
              <w:rPr>
                <w:rFonts w:ascii="Garamond" w:hAnsi="Garamond"/>
              </w:rPr>
              <w:t>Charles C. Lanfear, PhD</w:t>
            </w:r>
          </w:p>
          <w:p w14:paraId="6C7A1C80" w14:textId="3B4DC8FB" w:rsidR="00084462" w:rsidRPr="00084462" w:rsidRDefault="00084462" w:rsidP="00084462">
            <w:pPr>
              <w:jc w:val="right"/>
              <w:rPr>
                <w:rFonts w:ascii="Garamond" w:hAnsi="Garamond"/>
              </w:rPr>
            </w:pPr>
            <w:r w:rsidRPr="00084462">
              <w:rPr>
                <w:rFonts w:ascii="Garamond" w:hAnsi="Garamond"/>
              </w:rPr>
              <w:t>Ass</w:t>
            </w:r>
            <w:r w:rsidR="007B77EE">
              <w:rPr>
                <w:rFonts w:ascii="Garamond" w:hAnsi="Garamond"/>
              </w:rPr>
              <w:t>ociate</w:t>
            </w:r>
            <w:r w:rsidRPr="00084462">
              <w:rPr>
                <w:rFonts w:ascii="Garamond" w:hAnsi="Garamond"/>
              </w:rPr>
              <w:t xml:space="preserve"> Professor</w:t>
            </w:r>
          </w:p>
          <w:p w14:paraId="1CADCB00" w14:textId="77777777" w:rsidR="00084462" w:rsidRDefault="00084462" w:rsidP="00084462">
            <w:pPr>
              <w:jc w:val="right"/>
              <w:rPr>
                <w:rFonts w:ascii="Garamond" w:hAnsi="Garamond"/>
              </w:rPr>
            </w:pPr>
            <w:r w:rsidRPr="00084462">
              <w:rPr>
                <w:rFonts w:ascii="Garamond" w:hAnsi="Garamond"/>
              </w:rPr>
              <w:t>Institute of Criminology</w:t>
            </w:r>
          </w:p>
          <w:p w14:paraId="5B13160B" w14:textId="1C1B9DA4" w:rsidR="00253C68" w:rsidRDefault="007B77EE" w:rsidP="00084462">
            <w:pPr>
              <w:jc w:val="right"/>
              <w:rPr>
                <w:rFonts w:ascii="Garamond" w:hAnsi="Garamond"/>
              </w:rPr>
            </w:pPr>
            <w:r>
              <w:rPr>
                <w:rFonts w:ascii="Garamond" w:hAnsi="Garamond"/>
              </w:rPr>
              <w:t>University of Cambridge</w:t>
            </w:r>
          </w:p>
        </w:tc>
      </w:tr>
    </w:tbl>
    <w:p w14:paraId="66EFC9E1" w14:textId="77777777" w:rsidR="00141C5F" w:rsidRDefault="00141C5F" w:rsidP="00E41DAA">
      <w:pPr>
        <w:spacing w:after="0" w:line="240" w:lineRule="auto"/>
        <w:rPr>
          <w:rFonts w:ascii="Garamond" w:hAnsi="Garamond"/>
        </w:rPr>
      </w:pPr>
    </w:p>
    <w:p w14:paraId="11161143" w14:textId="77777777" w:rsidR="00FE445F" w:rsidRDefault="00FE445F" w:rsidP="00237870">
      <w:pPr>
        <w:spacing w:after="120" w:line="240" w:lineRule="auto"/>
        <w:rPr>
          <w:rFonts w:ascii="Garamond" w:hAnsi="Garamond"/>
        </w:rPr>
      </w:pPr>
    </w:p>
    <w:p w14:paraId="72B454D8" w14:textId="0C117770" w:rsidR="00237870" w:rsidRDefault="007A2ED2" w:rsidP="00237870">
      <w:pPr>
        <w:spacing w:after="120" w:line="240" w:lineRule="auto"/>
        <w:rPr>
          <w:rFonts w:ascii="Garamond" w:hAnsi="Garamond"/>
        </w:rPr>
      </w:pPr>
      <w:r>
        <w:rPr>
          <w:rFonts w:ascii="Garamond" w:hAnsi="Garamond"/>
        </w:rPr>
        <w:t>1</w:t>
      </w:r>
      <w:r w:rsidR="003461D5">
        <w:rPr>
          <w:rFonts w:ascii="Garamond" w:hAnsi="Garamond"/>
        </w:rPr>
        <w:t xml:space="preserve"> </w:t>
      </w:r>
      <w:r w:rsidR="007B77EE">
        <w:rPr>
          <w:rFonts w:ascii="Garamond" w:hAnsi="Garamond"/>
        </w:rPr>
        <w:t>March</w:t>
      </w:r>
      <w:r w:rsidR="00E41DAA">
        <w:rPr>
          <w:rFonts w:ascii="Garamond" w:hAnsi="Garamond"/>
        </w:rPr>
        <w:t xml:space="preserve"> 202</w:t>
      </w:r>
      <w:r w:rsidR="007B77EE">
        <w:rPr>
          <w:rFonts w:ascii="Garamond" w:hAnsi="Garamond"/>
        </w:rPr>
        <w:t>6</w:t>
      </w:r>
    </w:p>
    <w:p w14:paraId="58783574" w14:textId="77777777" w:rsidR="00FE445F" w:rsidRDefault="00FE445F" w:rsidP="00237870">
      <w:pPr>
        <w:spacing w:after="120" w:line="240" w:lineRule="auto"/>
        <w:rPr>
          <w:rFonts w:ascii="Garamond" w:hAnsi="Garamond"/>
        </w:rPr>
      </w:pPr>
    </w:p>
    <w:p w14:paraId="51E1937E" w14:textId="58DE0525" w:rsidR="00240CDF" w:rsidRDefault="00084462" w:rsidP="00237870">
      <w:pPr>
        <w:spacing w:after="120" w:line="240" w:lineRule="auto"/>
        <w:rPr>
          <w:rFonts w:ascii="Garamond" w:hAnsi="Garamond"/>
        </w:rPr>
      </w:pPr>
      <w:r w:rsidRPr="00084462">
        <w:rPr>
          <w:rFonts w:ascii="Garamond" w:hAnsi="Garamond"/>
        </w:rPr>
        <w:t xml:space="preserve">Dear </w:t>
      </w:r>
      <w:r w:rsidR="008A2E9C">
        <w:rPr>
          <w:rFonts w:ascii="Garamond" w:hAnsi="Garamond"/>
        </w:rPr>
        <w:t>Editors</w:t>
      </w:r>
      <w:r w:rsidRPr="00084462">
        <w:rPr>
          <w:rFonts w:ascii="Garamond" w:hAnsi="Garamond"/>
        </w:rPr>
        <w:t>,</w:t>
      </w:r>
    </w:p>
    <w:p w14:paraId="0E8E56CB" w14:textId="77777777" w:rsidR="007B77EE" w:rsidRDefault="007B77EE" w:rsidP="00237870">
      <w:pPr>
        <w:spacing w:after="120" w:line="240" w:lineRule="auto"/>
        <w:rPr>
          <w:rFonts w:ascii="Garamond" w:hAnsi="Garamond"/>
        </w:rPr>
      </w:pPr>
    </w:p>
    <w:p w14:paraId="6DC754D9" w14:textId="77777777" w:rsidR="009A1D17" w:rsidRDefault="009A1D17" w:rsidP="00CE0279">
      <w:pPr>
        <w:spacing w:after="120" w:line="240" w:lineRule="auto"/>
        <w:rPr>
          <w:rFonts w:ascii="Garamond" w:hAnsi="Garamond"/>
        </w:rPr>
      </w:pPr>
    </w:p>
    <w:p w14:paraId="0EC13810" w14:textId="4CBD3978" w:rsidR="007B77EE" w:rsidRDefault="007B77EE" w:rsidP="00CE0279">
      <w:pPr>
        <w:spacing w:after="120" w:line="240" w:lineRule="auto"/>
        <w:rPr>
          <w:rFonts w:ascii="Garamond" w:hAnsi="Garamond"/>
        </w:rPr>
      </w:pPr>
      <w:r w:rsidRPr="007B77EE">
        <w:rPr>
          <w:rFonts w:ascii="Garamond" w:hAnsi="Garamond"/>
        </w:rPr>
        <w:t xml:space="preserve">Thiago Oliveira and I are pleased to submit </w:t>
      </w:r>
      <w:r w:rsidR="002B1A61">
        <w:rPr>
          <w:rFonts w:ascii="Garamond" w:hAnsi="Garamond"/>
        </w:rPr>
        <w:t>this</w:t>
      </w:r>
      <w:r w:rsidR="009A1D17">
        <w:rPr>
          <w:rFonts w:ascii="Garamond" w:hAnsi="Garamond"/>
        </w:rPr>
        <w:t xml:space="preserve"> revision of </w:t>
      </w:r>
      <w:r w:rsidR="008C696F">
        <w:rPr>
          <w:rFonts w:ascii="Garamond" w:hAnsi="Garamond"/>
        </w:rPr>
        <w:t>our paper on the use of cross-lagged panel models</w:t>
      </w:r>
      <w:r w:rsidR="00655AAC">
        <w:rPr>
          <w:rFonts w:ascii="Garamond" w:hAnsi="Garamond"/>
        </w:rPr>
        <w:t xml:space="preserve"> in life course and development research and criminology more generally</w:t>
      </w:r>
      <w:r w:rsidR="008C696F">
        <w:rPr>
          <w:rFonts w:ascii="Garamond" w:hAnsi="Garamond"/>
        </w:rPr>
        <w:t xml:space="preserve">. We were </w:t>
      </w:r>
      <w:r w:rsidR="004910F3">
        <w:rPr>
          <w:rFonts w:ascii="Garamond" w:hAnsi="Garamond"/>
        </w:rPr>
        <w:t>pleased</w:t>
      </w:r>
      <w:r w:rsidR="008C696F">
        <w:rPr>
          <w:rFonts w:ascii="Garamond" w:hAnsi="Garamond"/>
        </w:rPr>
        <w:t xml:space="preserve"> with the positive reception</w:t>
      </w:r>
      <w:r w:rsidR="008D1C0A">
        <w:rPr>
          <w:rFonts w:ascii="Garamond" w:hAnsi="Garamond"/>
        </w:rPr>
        <w:t xml:space="preserve"> and </w:t>
      </w:r>
      <w:r w:rsidR="00611789">
        <w:rPr>
          <w:rFonts w:ascii="Garamond" w:hAnsi="Garamond"/>
        </w:rPr>
        <w:t>engaging feedback</w:t>
      </w:r>
      <w:r w:rsidR="008C696F">
        <w:rPr>
          <w:rFonts w:ascii="Garamond" w:hAnsi="Garamond"/>
        </w:rPr>
        <w:t>.</w:t>
      </w:r>
      <w:r w:rsidR="00FA0931">
        <w:rPr>
          <w:rFonts w:ascii="Garamond" w:hAnsi="Garamond"/>
        </w:rPr>
        <w:t xml:space="preserve"> </w:t>
      </w:r>
      <w:r w:rsidR="00611789">
        <w:rPr>
          <w:rFonts w:ascii="Garamond" w:hAnsi="Garamond"/>
        </w:rPr>
        <w:t>Below we</w:t>
      </w:r>
      <w:r w:rsidR="00FA0931">
        <w:rPr>
          <w:rFonts w:ascii="Garamond" w:hAnsi="Garamond"/>
        </w:rPr>
        <w:t xml:space="preserve"> provide point-by-point responses </w:t>
      </w:r>
      <w:r w:rsidR="00611789">
        <w:rPr>
          <w:rFonts w:ascii="Garamond" w:hAnsi="Garamond"/>
        </w:rPr>
        <w:t>for</w:t>
      </w:r>
      <w:r w:rsidR="00FA0931">
        <w:rPr>
          <w:rFonts w:ascii="Garamond" w:hAnsi="Garamond"/>
        </w:rPr>
        <w:t xml:space="preserve"> each paragraph of </w:t>
      </w:r>
      <w:r w:rsidR="00D90A81">
        <w:rPr>
          <w:rFonts w:ascii="Garamond" w:hAnsi="Garamond"/>
        </w:rPr>
        <w:t xml:space="preserve">Reviewer 1’s </w:t>
      </w:r>
      <w:r w:rsidR="004A13F4">
        <w:rPr>
          <w:rFonts w:ascii="Garamond" w:hAnsi="Garamond"/>
        </w:rPr>
        <w:t>thoughtful comments</w:t>
      </w:r>
      <w:r w:rsidR="00D90A81">
        <w:rPr>
          <w:rFonts w:ascii="Garamond" w:hAnsi="Garamond"/>
        </w:rPr>
        <w:t>.</w:t>
      </w:r>
    </w:p>
    <w:p w14:paraId="1C13F44C" w14:textId="77777777" w:rsidR="009A1D17" w:rsidRDefault="009A1D17" w:rsidP="00CE0279">
      <w:pPr>
        <w:spacing w:after="120" w:line="240" w:lineRule="auto"/>
        <w:rPr>
          <w:rFonts w:ascii="Garamond" w:hAnsi="Garamond"/>
        </w:rPr>
      </w:pPr>
    </w:p>
    <w:p w14:paraId="2CF516DF" w14:textId="08CD6E23" w:rsidR="00AC56F2" w:rsidRPr="009E0E15" w:rsidRDefault="00AC56F2" w:rsidP="00AC56F2">
      <w:pPr>
        <w:spacing w:after="120" w:line="240" w:lineRule="auto"/>
        <w:ind w:left="720"/>
        <w:rPr>
          <w:rFonts w:ascii="Garamond" w:hAnsi="Garamond"/>
          <w:i/>
          <w:iCs/>
        </w:rPr>
      </w:pPr>
      <w:r w:rsidRPr="009E0E15">
        <w:rPr>
          <w:rFonts w:ascii="Garamond" w:hAnsi="Garamond"/>
          <w:i/>
          <w:iCs/>
        </w:rPr>
        <w:t>The paper overall provides a nice discussion of key issues when considering applying CLPMs to understand reciprocal relationships in criminological research. The paper focuses on two ‘case studies’ – questions relating to employment and fear of crime, which helps ground the technical side of the paper in real empirical research. There are some areas that this could be strengthened so that the paper does not get too technical for readers. My comments highlight some of these places where this can be done, as well as some additional comments to consider regarding the role of time.</w:t>
      </w:r>
    </w:p>
    <w:p w14:paraId="794EF836" w14:textId="6FB2FA55" w:rsidR="00AC56F2" w:rsidRDefault="00393104" w:rsidP="00AC56F2">
      <w:pPr>
        <w:spacing w:after="120" w:line="240" w:lineRule="auto"/>
        <w:rPr>
          <w:rFonts w:ascii="Garamond" w:hAnsi="Garamond"/>
        </w:rPr>
      </w:pPr>
      <w:r>
        <w:rPr>
          <w:rFonts w:ascii="Garamond" w:hAnsi="Garamond"/>
        </w:rPr>
        <w:t>Yes, we appreciate the suggestion to avoid getting overly technical;</w:t>
      </w:r>
      <w:r w:rsidR="00DC5617">
        <w:rPr>
          <w:rFonts w:ascii="Garamond" w:hAnsi="Garamond"/>
        </w:rPr>
        <w:t xml:space="preserve"> </w:t>
      </w:r>
      <w:r w:rsidR="00FF626E">
        <w:rPr>
          <w:rFonts w:ascii="Garamond" w:hAnsi="Garamond"/>
        </w:rPr>
        <w:t xml:space="preserve">we have a tendency to let </w:t>
      </w:r>
      <w:r w:rsidR="00DC5617">
        <w:rPr>
          <w:rFonts w:ascii="Garamond" w:hAnsi="Garamond"/>
        </w:rPr>
        <w:t>our excitement over technical details</w:t>
      </w:r>
      <w:r w:rsidR="00FF626E">
        <w:rPr>
          <w:rFonts w:ascii="Garamond" w:hAnsi="Garamond"/>
        </w:rPr>
        <w:t xml:space="preserve"> spill out.</w:t>
      </w:r>
    </w:p>
    <w:p w14:paraId="403A2F25" w14:textId="77777777" w:rsidR="00AC56F2" w:rsidRPr="00AC56F2" w:rsidRDefault="00AC56F2" w:rsidP="00AC56F2">
      <w:pPr>
        <w:spacing w:after="120" w:line="240" w:lineRule="auto"/>
        <w:rPr>
          <w:rFonts w:ascii="Garamond" w:hAnsi="Garamond"/>
        </w:rPr>
      </w:pPr>
    </w:p>
    <w:p w14:paraId="517B2A93" w14:textId="77777777" w:rsidR="00AC56F2" w:rsidRPr="009E0E15" w:rsidRDefault="00AC56F2" w:rsidP="00AC56F2">
      <w:pPr>
        <w:spacing w:after="120" w:line="240" w:lineRule="auto"/>
        <w:ind w:left="720"/>
        <w:rPr>
          <w:rFonts w:ascii="Garamond" w:hAnsi="Garamond"/>
          <w:i/>
          <w:iCs/>
        </w:rPr>
      </w:pPr>
      <w:r w:rsidRPr="009E0E15">
        <w:rPr>
          <w:rFonts w:ascii="Garamond" w:hAnsi="Garamond"/>
          <w:i/>
          <w:iCs/>
        </w:rPr>
        <w:t>First, the two use cases are focused on different kinds of reciprocal relationships, which I agree is an important issue. I do think that the theoretical and empirical underpinnings of these reciprocal relationships could be elaborated on more for the reader. For example, what does existing research show regarding the effect of criminal behavior on job loss? Does not accounting for this affect the estimates in empirical work? In relation to disorder, what is the evidence for each direction and how have studies examined this reciprocal relationship in previous work (including CLPMs but perhaps also beyond). There is quite a growing area of research on momentary measures of fear of crime (e.g., Solymosi, Kronkvist, Chataway, etc.) that may help further elaborate on the temporal, reciprocal processes. Incorporating existing empirical work for both use cases can help the reader contextualise and situate the problem in ongoing work, and help understand how these main issues can affect our interpretation of the evidence.</w:t>
      </w:r>
    </w:p>
    <w:p w14:paraId="7D1D20C4" w14:textId="1A8E0848" w:rsidR="00AC56F2" w:rsidRDefault="008D3A0B" w:rsidP="00AC56F2">
      <w:pPr>
        <w:spacing w:after="120" w:line="240" w:lineRule="auto"/>
        <w:rPr>
          <w:rFonts w:ascii="Garamond" w:hAnsi="Garamond"/>
        </w:rPr>
      </w:pPr>
      <w:r>
        <w:rPr>
          <w:rFonts w:ascii="Garamond" w:hAnsi="Garamond"/>
        </w:rPr>
        <w:t>TO DO:</w:t>
      </w:r>
      <w:r w:rsidR="00F61F0C">
        <w:rPr>
          <w:rFonts w:ascii="Garamond" w:hAnsi="Garamond"/>
        </w:rPr>
        <w:t xml:space="preserve"> </w:t>
      </w:r>
      <w:r w:rsidR="00F61F0C" w:rsidRPr="003D68F4">
        <w:rPr>
          <w:rFonts w:ascii="Garamond" w:hAnsi="Garamond"/>
          <w:b/>
          <w:bCs/>
        </w:rPr>
        <w:t>CCL</w:t>
      </w:r>
    </w:p>
    <w:p w14:paraId="18C06366" w14:textId="4CEA79B0" w:rsidR="008D3A0B" w:rsidRDefault="005A285D" w:rsidP="008D3A0B">
      <w:pPr>
        <w:pStyle w:val="ListParagraph"/>
        <w:numPr>
          <w:ilvl w:val="0"/>
          <w:numId w:val="8"/>
        </w:numPr>
        <w:spacing w:after="120" w:line="240" w:lineRule="auto"/>
        <w:rPr>
          <w:rFonts w:ascii="Garamond" w:hAnsi="Garamond"/>
        </w:rPr>
      </w:pPr>
      <w:r>
        <w:rPr>
          <w:rFonts w:ascii="Garamond" w:hAnsi="Garamond"/>
        </w:rPr>
        <w:t>Expand lit on c</w:t>
      </w:r>
      <w:r w:rsidR="00491BA7">
        <w:rPr>
          <w:rFonts w:ascii="Garamond" w:hAnsi="Garamond"/>
        </w:rPr>
        <w:t>rime and work: job loss; effects of ignoring reciprocality</w:t>
      </w:r>
    </w:p>
    <w:p w14:paraId="34F61F6B" w14:textId="272C2DDA" w:rsidR="00A3213F" w:rsidRDefault="00BB3997" w:rsidP="00A3213F">
      <w:pPr>
        <w:pStyle w:val="ListParagraph"/>
        <w:numPr>
          <w:ilvl w:val="1"/>
          <w:numId w:val="8"/>
        </w:numPr>
        <w:spacing w:after="120" w:line="240" w:lineRule="auto"/>
        <w:rPr>
          <w:rFonts w:ascii="Garamond" w:hAnsi="Garamond"/>
        </w:rPr>
      </w:pPr>
      <w:commentRangeStart w:id="0"/>
      <w:r>
        <w:rPr>
          <w:rFonts w:ascii="Garamond" w:hAnsi="Garamond"/>
        </w:rPr>
        <w:t>CCL</w:t>
      </w:r>
      <w:r w:rsidR="00A3213F">
        <w:rPr>
          <w:rFonts w:ascii="Garamond" w:hAnsi="Garamond"/>
        </w:rPr>
        <w:t xml:space="preserve">: </w:t>
      </w:r>
      <w:commentRangeEnd w:id="0"/>
      <w:r w:rsidR="0046763E">
        <w:rPr>
          <w:rStyle w:val="CommentReference"/>
          <w:rFonts w:ascii="Garamond" w:hAnsi="Garamond"/>
          <w:sz w:val="22"/>
          <w:szCs w:val="22"/>
        </w:rPr>
        <w:commentReference w:id="0"/>
      </w:r>
      <w:r w:rsidR="00A3213F">
        <w:rPr>
          <w:rFonts w:ascii="Garamond" w:hAnsi="Garamond"/>
        </w:rPr>
        <w:t xml:space="preserve">Consider </w:t>
      </w:r>
      <w:r w:rsidR="005205BC">
        <w:rPr>
          <w:rFonts w:ascii="Garamond" w:hAnsi="Garamond"/>
        </w:rPr>
        <w:t xml:space="preserve">ways people tried to get around reciprocality other than CLPMs, e.g., </w:t>
      </w:r>
      <w:r w:rsidR="00A3213F">
        <w:rPr>
          <w:rFonts w:ascii="Garamond" w:hAnsi="Garamond"/>
        </w:rPr>
        <w:t>classic experimental work on work and offending</w:t>
      </w:r>
      <w:r w:rsidR="005205BC">
        <w:rPr>
          <w:rFonts w:ascii="Garamond" w:hAnsi="Garamond"/>
        </w:rPr>
        <w:t xml:space="preserve"> like</w:t>
      </w:r>
      <w:r w:rsidR="00A3213F">
        <w:rPr>
          <w:rFonts w:ascii="Garamond" w:hAnsi="Garamond"/>
        </w:rPr>
        <w:t xml:space="preserve"> </w:t>
      </w:r>
      <w:r w:rsidR="00F335D8">
        <w:rPr>
          <w:rFonts w:ascii="Garamond" w:hAnsi="Garamond"/>
        </w:rPr>
        <w:t xml:space="preserve">Rossi et al.’s </w:t>
      </w:r>
      <w:r w:rsidR="00A3213F">
        <w:rPr>
          <w:rFonts w:ascii="Garamond" w:hAnsi="Garamond"/>
        </w:rPr>
        <w:t>TARP</w:t>
      </w:r>
      <w:r w:rsidR="00F335D8">
        <w:rPr>
          <w:rFonts w:ascii="Garamond" w:hAnsi="Garamond"/>
        </w:rPr>
        <w:t xml:space="preserve"> in the 1970s</w:t>
      </w:r>
      <w:r w:rsidR="00A3213F">
        <w:rPr>
          <w:rFonts w:ascii="Garamond" w:hAnsi="Garamond"/>
        </w:rPr>
        <w:t>.</w:t>
      </w:r>
      <w:r w:rsidR="005205BC">
        <w:rPr>
          <w:rFonts w:ascii="Garamond" w:hAnsi="Garamond"/>
        </w:rPr>
        <w:t xml:space="preserve"> Also IV work?</w:t>
      </w:r>
      <w:r w:rsidR="00EB72EF">
        <w:rPr>
          <w:rFonts w:ascii="Garamond" w:hAnsi="Garamond"/>
        </w:rPr>
        <w:t xml:space="preserve"> IV work will prob show effects of ignoring reciprocality.</w:t>
      </w:r>
    </w:p>
    <w:p w14:paraId="5A9FD102" w14:textId="288E9AA8" w:rsidR="00EC351B" w:rsidRDefault="005A285D" w:rsidP="008D3A0B">
      <w:pPr>
        <w:pStyle w:val="ListParagraph"/>
        <w:numPr>
          <w:ilvl w:val="0"/>
          <w:numId w:val="8"/>
        </w:numPr>
        <w:spacing w:after="120" w:line="240" w:lineRule="auto"/>
        <w:rPr>
          <w:rFonts w:ascii="Garamond" w:hAnsi="Garamond"/>
        </w:rPr>
      </w:pPr>
      <w:r>
        <w:rPr>
          <w:rFonts w:ascii="Garamond" w:hAnsi="Garamond"/>
        </w:rPr>
        <w:t>Expand lit on d</w:t>
      </w:r>
      <w:r w:rsidR="00EC351B">
        <w:rPr>
          <w:rFonts w:ascii="Garamond" w:hAnsi="Garamond"/>
        </w:rPr>
        <w:t>isorder and fear: Past work with or without CLPMs; momentary measures.</w:t>
      </w:r>
    </w:p>
    <w:p w14:paraId="469CC609" w14:textId="4556BD61" w:rsidR="00584DE1" w:rsidRPr="008D3A0B" w:rsidRDefault="00584DE1" w:rsidP="00584DE1">
      <w:pPr>
        <w:pStyle w:val="ListParagraph"/>
        <w:numPr>
          <w:ilvl w:val="1"/>
          <w:numId w:val="8"/>
        </w:numPr>
        <w:spacing w:after="120" w:line="240" w:lineRule="auto"/>
        <w:rPr>
          <w:rFonts w:ascii="Garamond" w:hAnsi="Garamond"/>
        </w:rPr>
      </w:pPr>
      <w:r>
        <w:rPr>
          <w:rFonts w:ascii="Garamond" w:hAnsi="Garamond"/>
        </w:rPr>
        <w:t>CCL: Lots here I am familiar with including what we cite in paper but can elaborate on.</w:t>
      </w:r>
      <w:r w:rsidR="008268F3">
        <w:rPr>
          <w:rFonts w:ascii="Garamond" w:hAnsi="Garamond"/>
        </w:rPr>
        <w:t xml:space="preserve"> Can perhaps </w:t>
      </w:r>
      <w:r w:rsidR="00BB3997">
        <w:rPr>
          <w:rFonts w:ascii="Garamond" w:hAnsi="Garamond"/>
        </w:rPr>
        <w:t xml:space="preserve">gently </w:t>
      </w:r>
      <w:r w:rsidR="008268F3">
        <w:rPr>
          <w:rFonts w:ascii="Garamond" w:hAnsi="Garamond"/>
        </w:rPr>
        <w:t>critique the disorder / fear annual review as not considering reciprocality.</w:t>
      </w:r>
      <w:r>
        <w:rPr>
          <w:rFonts w:ascii="Garamond" w:hAnsi="Garamond"/>
        </w:rPr>
        <w:t xml:space="preserve"> </w:t>
      </w:r>
    </w:p>
    <w:p w14:paraId="1F76B036" w14:textId="77777777" w:rsidR="00AC56F2" w:rsidRPr="00AC56F2" w:rsidRDefault="00AC56F2" w:rsidP="00AC56F2">
      <w:pPr>
        <w:spacing w:after="120" w:line="240" w:lineRule="auto"/>
        <w:rPr>
          <w:rFonts w:ascii="Garamond" w:hAnsi="Garamond"/>
        </w:rPr>
      </w:pPr>
    </w:p>
    <w:p w14:paraId="617EF776" w14:textId="77777777" w:rsidR="00AC56F2" w:rsidRPr="009E0E15" w:rsidRDefault="00AC56F2" w:rsidP="00AC56F2">
      <w:pPr>
        <w:spacing w:after="120" w:line="240" w:lineRule="auto"/>
        <w:ind w:left="720"/>
        <w:rPr>
          <w:rFonts w:ascii="Garamond" w:hAnsi="Garamond"/>
          <w:i/>
          <w:iCs/>
        </w:rPr>
      </w:pPr>
      <w:r w:rsidRPr="009E0E15">
        <w:rPr>
          <w:rFonts w:ascii="Garamond" w:hAnsi="Garamond"/>
          <w:i/>
          <w:iCs/>
        </w:rPr>
        <w:t xml:space="preserve">The authors discuss the reciprocal relationship between employment and crime, but I think this requires a bit more elaboration and perhaps some consideration of the underlying theoretical process. First, they state that the reciprocal relationship (crime-&gt;employment) is not usually of substantive interest (pg 9), but in my reading I am not sure that is a correct assumption. In the desistance process, which can usually be messy and intermittent, the influence of crime on employment reflects a substantive part of the process. Engagement in crime, or even intentions or openness to crime can disrupt the embeddedness and building of social capital, controls, and commitment to conventional society/workplace. </w:t>
      </w:r>
      <w:r w:rsidRPr="009E0E15">
        <w:rPr>
          <w:rFonts w:ascii="Garamond" w:hAnsi="Garamond"/>
          <w:i/>
          <w:iCs/>
        </w:rPr>
        <w:lastRenderedPageBreak/>
        <w:t>The authors should perhaps reflect on whether (theoretically) this is merely something to be accounted for in the model. More connection with desistance research can perhaps help here.</w:t>
      </w:r>
    </w:p>
    <w:p w14:paraId="5EE8583C" w14:textId="709C4ED6" w:rsidR="00AC56F2" w:rsidRDefault="005A285D" w:rsidP="00AC56F2">
      <w:pPr>
        <w:spacing w:after="120" w:line="240" w:lineRule="auto"/>
        <w:rPr>
          <w:rFonts w:ascii="Garamond" w:hAnsi="Garamond"/>
        </w:rPr>
      </w:pPr>
      <w:r>
        <w:rPr>
          <w:rFonts w:ascii="Garamond" w:hAnsi="Garamond"/>
        </w:rPr>
        <w:t>TO DO:</w:t>
      </w:r>
      <w:r w:rsidR="003D68F4">
        <w:rPr>
          <w:rFonts w:ascii="Garamond" w:hAnsi="Garamond"/>
        </w:rPr>
        <w:t xml:space="preserve"> </w:t>
      </w:r>
      <w:r w:rsidR="003D68F4" w:rsidRPr="003D68F4">
        <w:rPr>
          <w:rFonts w:ascii="Garamond" w:hAnsi="Garamond"/>
          <w:b/>
          <w:bCs/>
        </w:rPr>
        <w:t>CCL</w:t>
      </w:r>
    </w:p>
    <w:p w14:paraId="621CAD28" w14:textId="77777777" w:rsidR="0046763E" w:rsidRDefault="0046763E" w:rsidP="00AC56F2">
      <w:pPr>
        <w:pStyle w:val="ListParagraph"/>
        <w:numPr>
          <w:ilvl w:val="0"/>
          <w:numId w:val="8"/>
        </w:numPr>
        <w:spacing w:after="120" w:line="240" w:lineRule="auto"/>
        <w:rPr>
          <w:rFonts w:ascii="Garamond" w:hAnsi="Garamond"/>
        </w:rPr>
      </w:pPr>
      <w:r w:rsidRPr="0026639C">
        <w:rPr>
          <w:rFonts w:ascii="Garamond" w:hAnsi="Garamond"/>
        </w:rPr>
        <w:t>Clarify that like estimands, whether something is reverse causality or theoretical reciprocality is a choice.</w:t>
      </w:r>
      <w:r>
        <w:rPr>
          <w:rFonts w:ascii="Garamond" w:hAnsi="Garamond"/>
        </w:rPr>
        <w:t xml:space="preserve"> </w:t>
      </w:r>
    </w:p>
    <w:p w14:paraId="0B10F17F" w14:textId="00945108" w:rsidR="00AC56F2" w:rsidRDefault="00690C4F" w:rsidP="0046763E">
      <w:pPr>
        <w:pStyle w:val="ListParagraph"/>
        <w:numPr>
          <w:ilvl w:val="1"/>
          <w:numId w:val="8"/>
        </w:numPr>
        <w:spacing w:after="120" w:line="240" w:lineRule="auto"/>
        <w:rPr>
          <w:rFonts w:ascii="Garamond" w:hAnsi="Garamond"/>
        </w:rPr>
      </w:pPr>
      <w:r>
        <w:rPr>
          <w:rFonts w:ascii="Garamond" w:hAnsi="Garamond"/>
        </w:rPr>
        <w:t xml:space="preserve">CCL: </w:t>
      </w:r>
      <w:r w:rsidR="0026639C">
        <w:rPr>
          <w:rFonts w:ascii="Garamond" w:hAnsi="Garamond"/>
        </w:rPr>
        <w:t xml:space="preserve">In example reviewer provides, </w:t>
      </w:r>
      <w:r w:rsidR="00585CE0">
        <w:rPr>
          <w:rFonts w:ascii="Garamond" w:hAnsi="Garamond"/>
        </w:rPr>
        <w:t xml:space="preserve">it seems they are arguing considering it a reverse causality problem is an oversimplification… but this hinges on a theoretical framework rooted in </w:t>
      </w:r>
      <w:r w:rsidR="00EF7A00">
        <w:rPr>
          <w:rFonts w:ascii="Garamond" w:hAnsi="Garamond"/>
        </w:rPr>
        <w:t>life course desistance rather than control.</w:t>
      </w:r>
      <w:r w:rsidR="0026639C" w:rsidRPr="0026639C">
        <w:rPr>
          <w:rFonts w:ascii="Garamond" w:hAnsi="Garamond"/>
        </w:rPr>
        <w:t xml:space="preserve"> </w:t>
      </w:r>
      <w:r w:rsidR="0046763E">
        <w:rPr>
          <w:rFonts w:ascii="Garamond" w:hAnsi="Garamond"/>
        </w:rPr>
        <w:t xml:space="preserve">The same question can go either </w:t>
      </w:r>
      <w:r w:rsidR="00B00E43">
        <w:rPr>
          <w:rFonts w:ascii="Garamond" w:hAnsi="Garamond"/>
        </w:rPr>
        <w:t>depending on how you think about the process.</w:t>
      </w:r>
    </w:p>
    <w:p w14:paraId="0F03C83B" w14:textId="77777777" w:rsidR="0026639C" w:rsidRPr="0026639C" w:rsidRDefault="0026639C" w:rsidP="0026639C">
      <w:pPr>
        <w:pStyle w:val="ListParagraph"/>
        <w:spacing w:after="120" w:line="240" w:lineRule="auto"/>
        <w:rPr>
          <w:rFonts w:ascii="Garamond" w:hAnsi="Garamond"/>
        </w:rPr>
      </w:pPr>
    </w:p>
    <w:p w14:paraId="128DE4FE" w14:textId="77777777" w:rsidR="00AC56F2" w:rsidRPr="009E0E15" w:rsidRDefault="00AC56F2" w:rsidP="00AC56F2">
      <w:pPr>
        <w:spacing w:after="120" w:line="240" w:lineRule="auto"/>
        <w:ind w:left="720"/>
        <w:rPr>
          <w:rFonts w:ascii="Garamond" w:hAnsi="Garamond"/>
          <w:i/>
          <w:iCs/>
        </w:rPr>
      </w:pPr>
      <w:r w:rsidRPr="009E0E15">
        <w:rPr>
          <w:rFonts w:ascii="Garamond" w:hAnsi="Garamond"/>
          <w:i/>
          <w:iCs/>
        </w:rPr>
        <w:t>In addition, I wondered if the temporal processes connecting employment-&gt;crime and crime-&gt;employment are equivalent such that one could examine them in a CLPM. A CLPM fundamentally assumes that the temporal order, timing, and process of change is the same for both directional processes (or at least can be captured in the same modelling strategy and time interval). While the employment-&gt;crime process is described as gradual and slow-moving, I’m not sure the crime-&gt;employment process can be described in the same way, as job loss is a discrete event (although the measure stated is proportion of time employed). This could be clarified by being a bit more explicit about the underlying processes and assumptions, for example by connecting to theoretical and empirical work (as mentioned in the comment above).</w:t>
      </w:r>
    </w:p>
    <w:p w14:paraId="6896AD07" w14:textId="7B4A5167" w:rsidR="00AC56F2" w:rsidRPr="003D68F4" w:rsidRDefault="00041985" w:rsidP="00AC56F2">
      <w:pPr>
        <w:spacing w:after="120" w:line="240" w:lineRule="auto"/>
        <w:rPr>
          <w:rFonts w:ascii="Garamond" w:hAnsi="Garamond"/>
          <w:b/>
          <w:bCs/>
        </w:rPr>
      </w:pPr>
      <w:r>
        <w:rPr>
          <w:rFonts w:ascii="Garamond" w:hAnsi="Garamond"/>
        </w:rPr>
        <w:t>TO DO:</w:t>
      </w:r>
      <w:r w:rsidR="003D68F4">
        <w:rPr>
          <w:rFonts w:ascii="Garamond" w:hAnsi="Garamond"/>
        </w:rPr>
        <w:t xml:space="preserve"> </w:t>
      </w:r>
      <w:r w:rsidR="003D68F4">
        <w:rPr>
          <w:rFonts w:ascii="Garamond" w:hAnsi="Garamond"/>
          <w:b/>
          <w:bCs/>
        </w:rPr>
        <w:t>CCL</w:t>
      </w:r>
      <w:r w:rsidR="00520B45">
        <w:rPr>
          <w:rFonts w:ascii="Garamond" w:hAnsi="Garamond"/>
          <w:b/>
          <w:bCs/>
        </w:rPr>
        <w:t xml:space="preserve"> take a stab</w:t>
      </w:r>
    </w:p>
    <w:p w14:paraId="485D1012" w14:textId="3DE67591" w:rsidR="008844C4" w:rsidRDefault="008844C4" w:rsidP="00041985">
      <w:pPr>
        <w:pStyle w:val="ListParagraph"/>
        <w:numPr>
          <w:ilvl w:val="0"/>
          <w:numId w:val="8"/>
        </w:numPr>
        <w:spacing w:after="120" w:line="240" w:lineRule="auto"/>
        <w:rPr>
          <w:rFonts w:ascii="Garamond" w:hAnsi="Garamond"/>
        </w:rPr>
      </w:pPr>
      <w:r>
        <w:rPr>
          <w:rFonts w:ascii="Garamond" w:hAnsi="Garamond"/>
        </w:rPr>
        <w:t>Again, more theoretical and empirical connection on processes.</w:t>
      </w:r>
    </w:p>
    <w:p w14:paraId="4C68C684" w14:textId="569FB7DA" w:rsidR="00041985" w:rsidRPr="00041985" w:rsidRDefault="00690C4F" w:rsidP="008844C4">
      <w:pPr>
        <w:pStyle w:val="ListParagraph"/>
        <w:numPr>
          <w:ilvl w:val="1"/>
          <w:numId w:val="8"/>
        </w:numPr>
        <w:spacing w:after="120" w:line="240" w:lineRule="auto"/>
        <w:rPr>
          <w:rFonts w:ascii="Garamond" w:hAnsi="Garamond"/>
        </w:rPr>
      </w:pPr>
      <w:r>
        <w:rPr>
          <w:rFonts w:ascii="Garamond" w:hAnsi="Garamond"/>
        </w:rPr>
        <w:t xml:space="preserve">CCL: </w:t>
      </w:r>
      <w:r w:rsidR="00393074">
        <w:rPr>
          <w:rFonts w:ascii="Garamond" w:hAnsi="Garamond"/>
        </w:rPr>
        <w:t xml:space="preserve">Hmm, I </w:t>
      </w:r>
      <w:r w:rsidR="000770C4">
        <w:rPr>
          <w:rFonts w:ascii="Garamond" w:hAnsi="Garamond"/>
        </w:rPr>
        <w:t xml:space="preserve">think discrete events are suitable treatments/outcomes in a CLPM. One just needs to recognize the </w:t>
      </w:r>
      <w:r w:rsidR="007D2B6A">
        <w:rPr>
          <w:rFonts w:ascii="Garamond" w:hAnsi="Garamond"/>
        </w:rPr>
        <w:t>time problems we discuss; e.g., that within any period there is a clear before and after point even if we don’t know when it is</w:t>
      </w:r>
      <w:r w:rsidR="00DD59E5">
        <w:rPr>
          <w:rFonts w:ascii="Garamond" w:hAnsi="Garamond"/>
        </w:rPr>
        <w:t>, so it raises composite variable problems. This is useful</w:t>
      </w:r>
      <w:r>
        <w:rPr>
          <w:rFonts w:ascii="Garamond" w:hAnsi="Garamond"/>
        </w:rPr>
        <w:t xml:space="preserve"> for connecting to that composite stuff, really.</w:t>
      </w:r>
      <w:r w:rsidR="008C7D21">
        <w:rPr>
          <w:rFonts w:ascii="Garamond" w:hAnsi="Garamond"/>
        </w:rPr>
        <w:t xml:space="preserve"> And also for arguing for why it is easier as a reverse causality problem, perhaps; if we treat the within-period </w:t>
      </w:r>
      <w:r w:rsidR="00F01C17">
        <w:rPr>
          <w:rFonts w:ascii="Garamond" w:hAnsi="Garamond"/>
        </w:rPr>
        <w:t>effect as ambiguous, this is less of an issue?</w:t>
      </w:r>
    </w:p>
    <w:p w14:paraId="5FA1EB3E" w14:textId="77777777" w:rsidR="00AC56F2" w:rsidRPr="00AC56F2" w:rsidRDefault="00AC56F2" w:rsidP="00AC56F2">
      <w:pPr>
        <w:spacing w:after="120" w:line="240" w:lineRule="auto"/>
        <w:rPr>
          <w:rFonts w:ascii="Garamond" w:hAnsi="Garamond"/>
        </w:rPr>
      </w:pPr>
    </w:p>
    <w:p w14:paraId="7778CDB1" w14:textId="77777777" w:rsidR="00AC56F2" w:rsidRPr="009E0E15" w:rsidRDefault="00AC56F2" w:rsidP="00AC56F2">
      <w:pPr>
        <w:spacing w:after="120" w:line="240" w:lineRule="auto"/>
        <w:ind w:left="720"/>
        <w:rPr>
          <w:rFonts w:ascii="Garamond" w:hAnsi="Garamond"/>
          <w:i/>
          <w:iCs/>
        </w:rPr>
      </w:pPr>
      <w:r w:rsidRPr="009E0E15">
        <w:rPr>
          <w:rFonts w:ascii="Garamond" w:hAnsi="Garamond"/>
          <w:i/>
          <w:iCs/>
        </w:rPr>
        <w:t>The authors mention continuous time models, and I think more attention could be paid to assumptions and specifications of discrete vs continuous time, and the implications for modelling and inference. Many readers may not be familiar with continuous time, or that we make implicit assumptions about discrete vs continuous time when using panel models in these cases.</w:t>
      </w:r>
    </w:p>
    <w:p w14:paraId="7077EB92" w14:textId="792AFC42" w:rsidR="00AC56F2" w:rsidRPr="002B7BDC" w:rsidRDefault="00C015BC" w:rsidP="00AC56F2">
      <w:pPr>
        <w:spacing w:after="120" w:line="240" w:lineRule="auto"/>
        <w:rPr>
          <w:rFonts w:ascii="Garamond" w:hAnsi="Garamond"/>
          <w:b/>
          <w:bCs/>
        </w:rPr>
      </w:pPr>
      <w:r>
        <w:rPr>
          <w:rFonts w:ascii="Garamond" w:hAnsi="Garamond"/>
        </w:rPr>
        <w:t>TO DO:</w:t>
      </w:r>
      <w:r w:rsidR="002B7BDC">
        <w:rPr>
          <w:rFonts w:ascii="Garamond" w:hAnsi="Garamond"/>
        </w:rPr>
        <w:t xml:space="preserve"> </w:t>
      </w:r>
      <w:r w:rsidR="002B7BDC">
        <w:rPr>
          <w:rFonts w:ascii="Garamond" w:hAnsi="Garamond"/>
          <w:b/>
          <w:bCs/>
        </w:rPr>
        <w:t>Thiago</w:t>
      </w:r>
    </w:p>
    <w:p w14:paraId="017516F1" w14:textId="534DC1B2" w:rsidR="00C015BC" w:rsidRDefault="00C015BC" w:rsidP="00C015BC">
      <w:pPr>
        <w:pStyle w:val="ListParagraph"/>
        <w:numPr>
          <w:ilvl w:val="0"/>
          <w:numId w:val="8"/>
        </w:numPr>
        <w:spacing w:after="120" w:line="240" w:lineRule="auto"/>
        <w:rPr>
          <w:rFonts w:ascii="Garamond" w:hAnsi="Garamond"/>
        </w:rPr>
      </w:pPr>
      <w:r>
        <w:rPr>
          <w:rFonts w:ascii="Garamond" w:hAnsi="Garamond"/>
        </w:rPr>
        <w:t xml:space="preserve">Review the couple papers on continuous time models and </w:t>
      </w:r>
      <w:r w:rsidR="0046763E">
        <w:rPr>
          <w:rFonts w:ascii="Garamond" w:hAnsi="Garamond"/>
        </w:rPr>
        <w:t>write a sentence or two on</w:t>
      </w:r>
      <w:r w:rsidR="000543E8">
        <w:rPr>
          <w:rFonts w:ascii="Garamond" w:hAnsi="Garamond"/>
        </w:rPr>
        <w:t xml:space="preserve"> assumptions of discrete time.</w:t>
      </w:r>
    </w:p>
    <w:p w14:paraId="267BCB6E" w14:textId="366C8498" w:rsidR="000543E8" w:rsidRPr="00C015BC" w:rsidRDefault="000543E8" w:rsidP="000543E8">
      <w:pPr>
        <w:pStyle w:val="ListParagraph"/>
        <w:numPr>
          <w:ilvl w:val="1"/>
          <w:numId w:val="8"/>
        </w:numPr>
        <w:spacing w:after="120" w:line="240" w:lineRule="auto"/>
        <w:rPr>
          <w:rFonts w:ascii="Garamond" w:hAnsi="Garamond"/>
        </w:rPr>
      </w:pPr>
      <w:r>
        <w:rPr>
          <w:rFonts w:ascii="Garamond" w:hAnsi="Garamond"/>
        </w:rPr>
        <w:t>CCL: My recollection is any continuous time model can be represented as a discrete time one and vice versa</w:t>
      </w:r>
      <w:r w:rsidR="00C65AAF">
        <w:rPr>
          <w:rFonts w:ascii="Garamond" w:hAnsi="Garamond"/>
        </w:rPr>
        <w:t>.</w:t>
      </w:r>
      <w:r w:rsidR="002F532D">
        <w:rPr>
          <w:rFonts w:ascii="Garamond" w:hAnsi="Garamond"/>
        </w:rPr>
        <w:t xml:space="preserve"> It isn’t possible to have continuous time measurements though</w:t>
      </w:r>
      <w:r w:rsidR="00C85322">
        <w:rPr>
          <w:rFonts w:ascii="Garamond" w:hAnsi="Garamond"/>
        </w:rPr>
        <w:t>, and resolution of measurement matters for ability to imply continuous time models.</w:t>
      </w:r>
    </w:p>
    <w:p w14:paraId="0AA12ACB" w14:textId="77777777" w:rsidR="00AC56F2" w:rsidRPr="00AC56F2" w:rsidRDefault="00AC56F2" w:rsidP="00AC56F2">
      <w:pPr>
        <w:spacing w:after="120" w:line="240" w:lineRule="auto"/>
        <w:rPr>
          <w:rFonts w:ascii="Garamond" w:hAnsi="Garamond"/>
        </w:rPr>
      </w:pPr>
    </w:p>
    <w:p w14:paraId="43952C03" w14:textId="77777777" w:rsidR="00AC56F2" w:rsidRPr="009E0E15" w:rsidRDefault="00AC56F2" w:rsidP="00AC56F2">
      <w:pPr>
        <w:spacing w:after="120" w:line="240" w:lineRule="auto"/>
        <w:ind w:left="720"/>
        <w:rPr>
          <w:rFonts w:ascii="Garamond" w:hAnsi="Garamond"/>
          <w:i/>
          <w:iCs/>
        </w:rPr>
      </w:pPr>
      <w:r w:rsidRPr="009E0E15">
        <w:rPr>
          <w:rFonts w:ascii="Garamond" w:hAnsi="Garamond"/>
          <w:i/>
          <w:iCs/>
        </w:rPr>
        <w:t>The authors discuss measurement a few times throughout, distinguishing between retrospective and current measures. This is an important point, and I think the authors could elaborate even more on these issues. Retrospective measures often have different time frames, and “current” measures are sometimes framed in a general way that it could cover a much broader timeframe than what people feel in the moment. In particular for CLPMs, the retrospective measures in different timeframes could create further issues in temporal ordering (eg, last 7 days, last 6 months). Retrospective measures also create multiple potential causal pathways within the CLPM (see Speyer et al: https://www.tandfonline.com/doi/full/10.1080/00273171.2024.2428222).</w:t>
      </w:r>
    </w:p>
    <w:p w14:paraId="4CC63F30" w14:textId="452D790B" w:rsidR="00AC56F2" w:rsidRPr="002B7BDC" w:rsidRDefault="0047705A" w:rsidP="00AC56F2">
      <w:pPr>
        <w:spacing w:after="120" w:line="240" w:lineRule="auto"/>
        <w:rPr>
          <w:rFonts w:ascii="Garamond" w:hAnsi="Garamond"/>
          <w:b/>
          <w:bCs/>
        </w:rPr>
      </w:pPr>
      <w:r>
        <w:rPr>
          <w:rFonts w:ascii="Garamond" w:hAnsi="Garamond"/>
        </w:rPr>
        <w:t>TO DO:</w:t>
      </w:r>
      <w:r w:rsidR="002B7BDC">
        <w:rPr>
          <w:rFonts w:ascii="Garamond" w:hAnsi="Garamond"/>
        </w:rPr>
        <w:t xml:space="preserve"> </w:t>
      </w:r>
      <w:r w:rsidR="002B7BDC">
        <w:rPr>
          <w:rFonts w:ascii="Garamond" w:hAnsi="Garamond"/>
          <w:b/>
          <w:bCs/>
        </w:rPr>
        <w:t>Thiago</w:t>
      </w:r>
    </w:p>
    <w:p w14:paraId="3BEA0010" w14:textId="040A5E79" w:rsidR="0047705A" w:rsidRDefault="0047705A" w:rsidP="0047705A">
      <w:pPr>
        <w:pStyle w:val="ListParagraph"/>
        <w:numPr>
          <w:ilvl w:val="0"/>
          <w:numId w:val="8"/>
        </w:numPr>
        <w:spacing w:after="120" w:line="240" w:lineRule="auto"/>
        <w:rPr>
          <w:rFonts w:ascii="Garamond" w:hAnsi="Garamond"/>
        </w:rPr>
      </w:pPr>
      <w:r>
        <w:rPr>
          <w:rFonts w:ascii="Garamond" w:hAnsi="Garamond"/>
        </w:rPr>
        <w:t>Read up a bit on retrospective and current measures; expand discussion of retrospective vs. current measures</w:t>
      </w:r>
      <w:r w:rsidR="002B7BDC">
        <w:rPr>
          <w:rFonts w:ascii="Garamond" w:hAnsi="Garamond"/>
        </w:rPr>
        <w:t>; write 2-3 sentences that acknowledge issue but defer to other literature</w:t>
      </w:r>
    </w:p>
    <w:p w14:paraId="735765DE" w14:textId="4CA0727D" w:rsidR="00896D02" w:rsidRPr="0047705A" w:rsidRDefault="00896D02" w:rsidP="00896D02">
      <w:pPr>
        <w:pStyle w:val="ListParagraph"/>
        <w:numPr>
          <w:ilvl w:val="1"/>
          <w:numId w:val="8"/>
        </w:numPr>
        <w:spacing w:after="120" w:line="240" w:lineRule="auto"/>
        <w:rPr>
          <w:rFonts w:ascii="Garamond" w:hAnsi="Garamond"/>
        </w:rPr>
      </w:pPr>
      <w:r>
        <w:rPr>
          <w:rFonts w:ascii="Garamond" w:hAnsi="Garamond"/>
        </w:rPr>
        <w:lastRenderedPageBreak/>
        <w:t>CCL: I like the idea to do this but I think the lit is pretty huge, so need to avoid adding too much bulk</w:t>
      </w:r>
      <w:r w:rsidR="004D2D02">
        <w:rPr>
          <w:rFonts w:ascii="Garamond" w:hAnsi="Garamond"/>
        </w:rPr>
        <w:t xml:space="preserve">, e.g., I must resist showing a </w:t>
      </w:r>
      <w:r w:rsidR="004F50E1">
        <w:rPr>
          <w:rFonts w:ascii="Garamond" w:hAnsi="Garamond"/>
        </w:rPr>
        <w:t>DAG for a CLPM between two measures with different temporal spans.</w:t>
      </w:r>
    </w:p>
    <w:p w14:paraId="56D59086" w14:textId="77777777" w:rsidR="00AC56F2" w:rsidRPr="00AC56F2" w:rsidRDefault="00AC56F2" w:rsidP="00AC56F2">
      <w:pPr>
        <w:spacing w:after="120" w:line="240" w:lineRule="auto"/>
        <w:rPr>
          <w:rFonts w:ascii="Garamond" w:hAnsi="Garamond"/>
        </w:rPr>
      </w:pPr>
    </w:p>
    <w:p w14:paraId="6C72F4F1" w14:textId="77777777" w:rsidR="00AC56F2" w:rsidRPr="009E0E15" w:rsidRDefault="00AC56F2" w:rsidP="00AC56F2">
      <w:pPr>
        <w:spacing w:after="120" w:line="240" w:lineRule="auto"/>
        <w:ind w:left="720"/>
        <w:rPr>
          <w:rFonts w:ascii="Garamond" w:hAnsi="Garamond"/>
          <w:i/>
          <w:iCs/>
        </w:rPr>
      </w:pPr>
      <w:r w:rsidRPr="009E0E15">
        <w:rPr>
          <w:rFonts w:ascii="Garamond" w:hAnsi="Garamond"/>
          <w:i/>
          <w:iCs/>
        </w:rPr>
        <w:t>In the second half of the paper, the authors make several important points. However, sometimes the language is abstracted and technical referring to causal and statistical language, making it difficult to follow for a reader not very familiar with these issues. It depends on who the audience is for this paper, but I would guess that the authors want to aim at empirical researchers who may be interested – either theoretically or empirically – in examining reciprocal relationships. This audience may or may not have a strong statistical background. In the front end, the authors used the two theoretical case studies, but they are not applied as much in the second half of the paper. I would recommend that the authors bring their examples to the second half of the paper to illustrate the problems and solutions, and try to avoid using only technical language. Applying the issues/solutions to the case studies can help illustrate exactly how these would look in theory and empirical research.</w:t>
      </w:r>
    </w:p>
    <w:p w14:paraId="2F93754B" w14:textId="52FCF504" w:rsidR="000F516A" w:rsidRPr="002C054E" w:rsidRDefault="000F516A" w:rsidP="00AC56F2">
      <w:pPr>
        <w:spacing w:after="120" w:line="240" w:lineRule="auto"/>
        <w:rPr>
          <w:rFonts w:ascii="Garamond" w:hAnsi="Garamond"/>
          <w:b/>
          <w:bCs/>
        </w:rPr>
      </w:pPr>
      <w:r>
        <w:rPr>
          <w:rFonts w:ascii="Garamond" w:hAnsi="Garamond"/>
        </w:rPr>
        <w:t>TO DO:</w:t>
      </w:r>
      <w:r w:rsidR="002C054E">
        <w:rPr>
          <w:rFonts w:ascii="Garamond" w:hAnsi="Garamond"/>
        </w:rPr>
        <w:t xml:space="preserve"> </w:t>
      </w:r>
      <w:r w:rsidR="002C054E">
        <w:rPr>
          <w:rFonts w:ascii="Garamond" w:hAnsi="Garamond"/>
          <w:b/>
          <w:bCs/>
        </w:rPr>
        <w:t>Thiago then CCL</w:t>
      </w:r>
    </w:p>
    <w:p w14:paraId="0F4827D3" w14:textId="276EDB40" w:rsidR="00B92D20" w:rsidRDefault="000F516A" w:rsidP="000F516A">
      <w:pPr>
        <w:pStyle w:val="ListParagraph"/>
        <w:numPr>
          <w:ilvl w:val="0"/>
          <w:numId w:val="8"/>
        </w:numPr>
        <w:spacing w:after="120" w:line="240" w:lineRule="auto"/>
        <w:rPr>
          <w:rFonts w:ascii="Garamond" w:hAnsi="Garamond"/>
        </w:rPr>
      </w:pPr>
      <w:r>
        <w:rPr>
          <w:rFonts w:ascii="Garamond" w:hAnsi="Garamond"/>
        </w:rPr>
        <w:t xml:space="preserve">Thorough sweep of the paper looking to </w:t>
      </w:r>
      <w:r w:rsidR="00B92D20">
        <w:rPr>
          <w:rFonts w:ascii="Garamond" w:hAnsi="Garamond"/>
        </w:rPr>
        <w:t xml:space="preserve">simplify and smooth technical sides for readers, in two ways: (a) make sure terms are carefully defined if used; (b) replace technical terms and purely abstract </w:t>
      </w:r>
      <w:r w:rsidR="00EA1AD3">
        <w:rPr>
          <w:rFonts w:ascii="Garamond" w:hAnsi="Garamond"/>
        </w:rPr>
        <w:t>content with examples using our front end topics.</w:t>
      </w:r>
      <w:r w:rsidR="00774553">
        <w:rPr>
          <w:rFonts w:ascii="Garamond" w:hAnsi="Garamond"/>
        </w:rPr>
        <w:t xml:space="preserve"> Main thing is tying to concrete examples rather than abstractions.</w:t>
      </w:r>
    </w:p>
    <w:p w14:paraId="498C36C1" w14:textId="0EED9179" w:rsidR="00AC56F2" w:rsidRDefault="000F516A" w:rsidP="00AC56F2">
      <w:pPr>
        <w:pStyle w:val="ListParagraph"/>
        <w:numPr>
          <w:ilvl w:val="1"/>
          <w:numId w:val="8"/>
        </w:numPr>
        <w:spacing w:after="120" w:line="240" w:lineRule="auto"/>
        <w:rPr>
          <w:rFonts w:ascii="Garamond" w:hAnsi="Garamond"/>
        </w:rPr>
      </w:pPr>
      <w:r w:rsidRPr="000F516A">
        <w:rPr>
          <w:rFonts w:ascii="Garamond" w:hAnsi="Garamond"/>
        </w:rPr>
        <w:t>CCL:</w:t>
      </w:r>
      <w:r w:rsidR="00EA1AD3">
        <w:rPr>
          <w:rFonts w:ascii="Garamond" w:hAnsi="Garamond"/>
        </w:rPr>
        <w:t xml:space="preserve"> Yeah, given how we wrote paper, it makes sense back half is more technical; we worked backwards from it!</w:t>
      </w:r>
    </w:p>
    <w:p w14:paraId="57AD4986" w14:textId="77777777" w:rsidR="00EA1AD3" w:rsidRPr="00EA1AD3" w:rsidRDefault="00EA1AD3" w:rsidP="000C7195">
      <w:pPr>
        <w:pStyle w:val="ListParagraph"/>
        <w:spacing w:after="120" w:line="240" w:lineRule="auto"/>
        <w:ind w:left="1440"/>
        <w:rPr>
          <w:rFonts w:ascii="Garamond" w:hAnsi="Garamond"/>
        </w:rPr>
      </w:pPr>
    </w:p>
    <w:p w14:paraId="566FDDF6" w14:textId="77777777" w:rsidR="00AC56F2" w:rsidRPr="009E0E15" w:rsidRDefault="00AC56F2" w:rsidP="00AC56F2">
      <w:pPr>
        <w:spacing w:after="120" w:line="240" w:lineRule="auto"/>
        <w:ind w:left="720"/>
        <w:rPr>
          <w:rFonts w:ascii="Garamond" w:hAnsi="Garamond"/>
          <w:i/>
          <w:iCs/>
        </w:rPr>
      </w:pPr>
      <w:r w:rsidRPr="009E0E15">
        <w:rPr>
          <w:rFonts w:ascii="Garamond" w:hAnsi="Garamond"/>
          <w:i/>
          <w:iCs/>
        </w:rPr>
        <w:t>Related to the above comment, the authors introduce two extensions to CLPM. It would be helpful for the reader if the authors provide more examples of criminological studies who have applied these methods. If possible, it would also be helpful to discuss how these models/findings compare to traditional CLPM findings – although that may be a whole new study in itself, so feel free to disregard. At least some citations of examples can help the reader see these models applied to questions in criminology.</w:t>
      </w:r>
    </w:p>
    <w:p w14:paraId="1CA31CE8" w14:textId="600C5F4B" w:rsidR="00AC56F2" w:rsidRPr="005B0B4D" w:rsidRDefault="000C7195" w:rsidP="00AC56F2">
      <w:pPr>
        <w:spacing w:after="120" w:line="240" w:lineRule="auto"/>
        <w:rPr>
          <w:rFonts w:ascii="Garamond" w:hAnsi="Garamond"/>
          <w:b/>
          <w:bCs/>
        </w:rPr>
      </w:pPr>
      <w:r>
        <w:rPr>
          <w:rFonts w:ascii="Garamond" w:hAnsi="Garamond"/>
        </w:rPr>
        <w:t>TO DO:</w:t>
      </w:r>
      <w:r w:rsidR="005B0B4D">
        <w:rPr>
          <w:rFonts w:ascii="Garamond" w:hAnsi="Garamond"/>
        </w:rPr>
        <w:t xml:space="preserve"> </w:t>
      </w:r>
      <w:r w:rsidR="005B0B4D">
        <w:rPr>
          <w:rFonts w:ascii="Garamond" w:hAnsi="Garamond"/>
          <w:b/>
          <w:bCs/>
        </w:rPr>
        <w:t>CCL then Thiago</w:t>
      </w:r>
    </w:p>
    <w:p w14:paraId="6382E590" w14:textId="59435DA8" w:rsidR="000C7195" w:rsidRDefault="000C7195" w:rsidP="000C7195">
      <w:pPr>
        <w:pStyle w:val="ListParagraph"/>
        <w:numPr>
          <w:ilvl w:val="0"/>
          <w:numId w:val="8"/>
        </w:numPr>
        <w:spacing w:after="120" w:line="240" w:lineRule="auto"/>
        <w:rPr>
          <w:rFonts w:ascii="Garamond" w:hAnsi="Garamond"/>
        </w:rPr>
      </w:pPr>
      <w:r>
        <w:rPr>
          <w:rFonts w:ascii="Garamond" w:hAnsi="Garamond"/>
        </w:rPr>
        <w:t>Add examples of studies using the ML-SEM and RI-CLPM.</w:t>
      </w:r>
    </w:p>
    <w:p w14:paraId="440F8843" w14:textId="34336A3B" w:rsidR="00EB5DD1" w:rsidRDefault="00EB5DD1" w:rsidP="00EB5DD1">
      <w:pPr>
        <w:pStyle w:val="ListParagraph"/>
        <w:numPr>
          <w:ilvl w:val="1"/>
          <w:numId w:val="8"/>
        </w:numPr>
        <w:spacing w:after="120" w:line="240" w:lineRule="auto"/>
        <w:rPr>
          <w:rFonts w:ascii="Garamond" w:hAnsi="Garamond"/>
        </w:rPr>
      </w:pPr>
      <w:r w:rsidRPr="00EB5DD1">
        <w:rPr>
          <w:rFonts w:ascii="Garamond" w:hAnsi="Garamond"/>
        </w:rPr>
        <w:t>ML-SEM</w:t>
      </w:r>
      <w:r w:rsidR="00DB4F02">
        <w:rPr>
          <w:rFonts w:ascii="Garamond" w:hAnsi="Garamond"/>
        </w:rPr>
        <w:t xml:space="preserve"> is perhaps less used but there’s still a bunch</w:t>
      </w:r>
      <w:r>
        <w:rPr>
          <w:rFonts w:ascii="Garamond" w:hAnsi="Garamond"/>
        </w:rPr>
        <w:t>:</w:t>
      </w:r>
    </w:p>
    <w:p w14:paraId="49CDDE5E" w14:textId="4084DC98" w:rsidR="009B50A3" w:rsidRDefault="00EA3F75" w:rsidP="00EB5DD1">
      <w:pPr>
        <w:pStyle w:val="ListParagraph"/>
        <w:numPr>
          <w:ilvl w:val="2"/>
          <w:numId w:val="8"/>
        </w:numPr>
        <w:spacing w:after="120" w:line="240" w:lineRule="auto"/>
        <w:rPr>
          <w:rFonts w:ascii="Garamond" w:hAnsi="Garamond"/>
        </w:rPr>
      </w:pPr>
      <w:r w:rsidRPr="00EB5DD1">
        <w:rPr>
          <w:rFonts w:ascii="Garamond" w:hAnsi="Garamond"/>
        </w:rPr>
        <w:t>I’ve used ML-SEM in the Airbnb paper</w:t>
      </w:r>
      <w:r w:rsidR="001364DE" w:rsidRPr="00EB5DD1">
        <w:rPr>
          <w:rFonts w:ascii="Garamond" w:hAnsi="Garamond"/>
        </w:rPr>
        <w:t xml:space="preserve"> and you’ve used it in the Law &amp; Society review piece but both are neighborhoods stuff.</w:t>
      </w:r>
      <w:r w:rsidR="00E379A7" w:rsidRPr="00EB5DD1">
        <w:rPr>
          <w:rFonts w:ascii="Garamond" w:hAnsi="Garamond"/>
        </w:rPr>
        <w:t xml:space="preserve"> </w:t>
      </w:r>
    </w:p>
    <w:p w14:paraId="013107C9" w14:textId="386ED9FE" w:rsidR="003B68DA" w:rsidRPr="00EB5DD1" w:rsidRDefault="003B68DA" w:rsidP="003B68DA">
      <w:pPr>
        <w:pStyle w:val="ListParagraph"/>
        <w:numPr>
          <w:ilvl w:val="3"/>
          <w:numId w:val="8"/>
        </w:numPr>
        <w:spacing w:after="120" w:line="240" w:lineRule="auto"/>
        <w:rPr>
          <w:rFonts w:ascii="Garamond" w:hAnsi="Garamond"/>
        </w:rPr>
      </w:pPr>
      <w:r>
        <w:rPr>
          <w:rFonts w:ascii="Garamond" w:hAnsi="Garamond"/>
        </w:rPr>
        <w:t>Actually do use the Airbnb paper as it is a good temporal timing one; AJS if we magically get an R&amp;R</w:t>
      </w:r>
    </w:p>
    <w:p w14:paraId="1AD56CEB" w14:textId="32A046EE" w:rsidR="00EA3F75" w:rsidRDefault="00E379A7" w:rsidP="009B50A3">
      <w:pPr>
        <w:pStyle w:val="ListParagraph"/>
        <w:numPr>
          <w:ilvl w:val="2"/>
          <w:numId w:val="8"/>
        </w:numPr>
        <w:spacing w:after="120" w:line="240" w:lineRule="auto"/>
        <w:rPr>
          <w:rFonts w:ascii="Garamond" w:hAnsi="Garamond"/>
        </w:rPr>
      </w:pPr>
      <w:r>
        <w:rPr>
          <w:rFonts w:ascii="Garamond" w:hAnsi="Garamond"/>
        </w:rPr>
        <w:t>Some other non-life course stuff is Rosenfeld &amp; Wallman (2019) on de-policing and homicide rates in US</w:t>
      </w:r>
      <w:r w:rsidR="009B50A3">
        <w:rPr>
          <w:rFonts w:ascii="Garamond" w:hAnsi="Garamond"/>
        </w:rPr>
        <w:t>.</w:t>
      </w:r>
    </w:p>
    <w:p w14:paraId="07B39D6B" w14:textId="7E725804" w:rsidR="009B50A3" w:rsidRDefault="009B50A3" w:rsidP="009B50A3">
      <w:pPr>
        <w:pStyle w:val="ListParagraph"/>
        <w:numPr>
          <w:ilvl w:val="2"/>
          <w:numId w:val="8"/>
        </w:numPr>
        <w:spacing w:after="120" w:line="240" w:lineRule="auto"/>
        <w:rPr>
          <w:rFonts w:ascii="Garamond" w:hAnsi="Garamond"/>
        </w:rPr>
      </w:pPr>
      <w:r>
        <w:rPr>
          <w:rFonts w:ascii="Garamond" w:hAnsi="Garamond"/>
        </w:rPr>
        <w:t>Some life course stuff:</w:t>
      </w:r>
    </w:p>
    <w:p w14:paraId="41870FFF" w14:textId="72B16C51" w:rsidR="00893AB2" w:rsidRPr="00893AB2" w:rsidRDefault="009B50A3" w:rsidP="00893AB2">
      <w:pPr>
        <w:pStyle w:val="ListParagraph"/>
        <w:numPr>
          <w:ilvl w:val="3"/>
          <w:numId w:val="8"/>
        </w:numPr>
        <w:rPr>
          <w:rFonts w:ascii="Garamond" w:hAnsi="Garamond"/>
        </w:rPr>
      </w:pPr>
      <w:r w:rsidRPr="00893AB2">
        <w:rPr>
          <w:rFonts w:ascii="Garamond" w:hAnsi="Garamond"/>
        </w:rPr>
        <w:t>Unnever &amp; Chouhy (2020) use it as a robustness test</w:t>
      </w:r>
      <w:r w:rsidR="00893AB2">
        <w:rPr>
          <w:rFonts w:ascii="Garamond" w:hAnsi="Garamond"/>
        </w:rPr>
        <w:t xml:space="preserve"> in paper about race, gender, and perceptions of peer delinquency in PHDCN-LCS</w:t>
      </w:r>
      <w:r w:rsidRPr="00893AB2">
        <w:rPr>
          <w:rFonts w:ascii="Garamond" w:hAnsi="Garamond"/>
        </w:rPr>
        <w:t>.</w:t>
      </w:r>
      <w:r w:rsidR="00893AB2" w:rsidRPr="00893AB2">
        <w:rPr>
          <w:rFonts w:ascii="Garamond" w:hAnsi="Garamond"/>
        </w:rPr>
        <w:t xml:space="preserve"> https://doi.org/10.1080/01639625.2019.1623604</w:t>
      </w:r>
    </w:p>
    <w:p w14:paraId="4D8337AD" w14:textId="3F8C89CD" w:rsidR="009B50A3" w:rsidRDefault="00D006FB" w:rsidP="009B50A3">
      <w:pPr>
        <w:pStyle w:val="ListParagraph"/>
        <w:numPr>
          <w:ilvl w:val="3"/>
          <w:numId w:val="8"/>
        </w:numPr>
        <w:spacing w:after="120" w:line="240" w:lineRule="auto"/>
        <w:rPr>
          <w:rFonts w:ascii="Garamond" w:hAnsi="Garamond"/>
        </w:rPr>
      </w:pPr>
      <w:r w:rsidRPr="00D006FB">
        <w:rPr>
          <w:rFonts w:ascii="Garamond" w:hAnsi="Garamond"/>
        </w:rPr>
        <w:t>Yeungjeom Lee</w:t>
      </w:r>
      <w:r>
        <w:rPr>
          <w:rFonts w:ascii="Garamond" w:hAnsi="Garamond"/>
        </w:rPr>
        <w:t xml:space="preserve"> (</w:t>
      </w:r>
      <w:hyperlink r:id="rId16" w:history="1">
        <w:r w:rsidRPr="0044605E">
          <w:rPr>
            <w:rStyle w:val="Hyperlink"/>
            <w:rFonts w:ascii="Garamond" w:hAnsi="Garamond"/>
          </w:rPr>
          <w:t>https://profiles.utdallas.edu/yjlee</w:t>
        </w:r>
      </w:hyperlink>
      <w:r>
        <w:rPr>
          <w:rFonts w:ascii="Garamond" w:hAnsi="Garamond"/>
        </w:rPr>
        <w:t>) seems to have written a ton of life course papers using ML-SEM</w:t>
      </w:r>
      <w:r w:rsidR="00A32C24">
        <w:rPr>
          <w:rFonts w:ascii="Garamond" w:hAnsi="Garamond"/>
        </w:rPr>
        <w:t>; might find a good one to cite.</w:t>
      </w:r>
    </w:p>
    <w:p w14:paraId="7A3E8630" w14:textId="7133348F" w:rsidR="004319C3" w:rsidRDefault="004319C3" w:rsidP="009B50A3">
      <w:pPr>
        <w:pStyle w:val="ListParagraph"/>
        <w:numPr>
          <w:ilvl w:val="3"/>
          <w:numId w:val="8"/>
        </w:numPr>
        <w:spacing w:after="120" w:line="240" w:lineRule="auto"/>
        <w:rPr>
          <w:rFonts w:ascii="Garamond" w:hAnsi="Garamond"/>
        </w:rPr>
      </w:pPr>
      <w:r>
        <w:rPr>
          <w:rFonts w:ascii="Garamond" w:hAnsi="Garamond"/>
        </w:rPr>
        <w:t xml:space="preserve">DeMarco, Leppard, &amp; Lindsay (2024) on </w:t>
      </w:r>
      <w:r w:rsidR="00A66D24">
        <w:rPr>
          <w:rFonts w:ascii="Garamond" w:hAnsi="Garamond"/>
        </w:rPr>
        <w:t xml:space="preserve">effects of </w:t>
      </w:r>
      <w:r>
        <w:rPr>
          <w:rFonts w:ascii="Garamond" w:hAnsi="Garamond"/>
        </w:rPr>
        <w:t>delinquency</w:t>
      </w:r>
      <w:r w:rsidR="00A66D24">
        <w:rPr>
          <w:rFonts w:ascii="Garamond" w:hAnsi="Garamond"/>
        </w:rPr>
        <w:t xml:space="preserve"> and</w:t>
      </w:r>
      <w:r>
        <w:rPr>
          <w:rFonts w:ascii="Garamond" w:hAnsi="Garamond"/>
        </w:rPr>
        <w:t xml:space="preserve"> arrest</w:t>
      </w:r>
      <w:r w:rsidR="00A66D24">
        <w:rPr>
          <w:rFonts w:ascii="Garamond" w:hAnsi="Garamond"/>
        </w:rPr>
        <w:t xml:space="preserve"> on</w:t>
      </w:r>
      <w:r>
        <w:rPr>
          <w:rFonts w:ascii="Garamond" w:hAnsi="Garamond"/>
        </w:rPr>
        <w:t xml:space="preserve"> family social capital in adolescence </w:t>
      </w:r>
      <w:hyperlink r:id="rId17" w:history="1">
        <w:r w:rsidRPr="0044605E">
          <w:rPr>
            <w:rStyle w:val="Hyperlink"/>
            <w:rFonts w:ascii="Garamond" w:hAnsi="Garamond"/>
          </w:rPr>
          <w:t>https://doi.org/10.1111/jomf.13029</w:t>
        </w:r>
      </w:hyperlink>
    </w:p>
    <w:p w14:paraId="796288F7" w14:textId="2E64AF01" w:rsidR="00EB5DD1" w:rsidRDefault="00DB4F02" w:rsidP="00EB5DD1">
      <w:pPr>
        <w:pStyle w:val="ListParagraph"/>
        <w:numPr>
          <w:ilvl w:val="1"/>
          <w:numId w:val="8"/>
        </w:numPr>
        <w:spacing w:after="120" w:line="240" w:lineRule="auto"/>
        <w:rPr>
          <w:rFonts w:ascii="Garamond" w:hAnsi="Garamond"/>
        </w:rPr>
      </w:pPr>
      <w:r>
        <w:rPr>
          <w:rFonts w:ascii="Garamond" w:hAnsi="Garamond"/>
        </w:rPr>
        <w:t>RI-CLPM seems plentiful:</w:t>
      </w:r>
    </w:p>
    <w:p w14:paraId="33F44FD4" w14:textId="0876FF7A" w:rsidR="00AB0DBC" w:rsidRDefault="00AB0DBC" w:rsidP="006F7754">
      <w:pPr>
        <w:pStyle w:val="ListParagraph"/>
        <w:numPr>
          <w:ilvl w:val="2"/>
          <w:numId w:val="8"/>
        </w:numPr>
        <w:spacing w:after="120" w:line="240" w:lineRule="auto"/>
        <w:rPr>
          <w:rFonts w:ascii="Garamond" w:hAnsi="Garamond"/>
        </w:rPr>
      </w:pPr>
      <w:r>
        <w:rPr>
          <w:rFonts w:ascii="Garamond" w:hAnsi="Garamond"/>
        </w:rPr>
        <w:t>This paper Manuel is on actually seems methodologically relevant to us</w:t>
      </w:r>
      <w:r w:rsidR="00FE1BDB">
        <w:rPr>
          <w:rFonts w:ascii="Garamond" w:hAnsi="Garamond"/>
        </w:rPr>
        <w:t>: Speyer et al. (2024) “</w:t>
      </w:r>
      <w:r w:rsidR="00FE1BDB" w:rsidRPr="00FE1BDB">
        <w:rPr>
          <w:rFonts w:ascii="Garamond" w:hAnsi="Garamond"/>
        </w:rPr>
        <w:t>On the Importance of Considering Concurrent Effects in Random-Intercept Cross-Lagged Panel Modelling</w:t>
      </w:r>
      <w:r w:rsidR="00FE1BDB">
        <w:rPr>
          <w:rFonts w:ascii="Garamond" w:hAnsi="Garamond"/>
        </w:rPr>
        <w:t xml:space="preserve">” </w:t>
      </w:r>
      <w:hyperlink r:id="rId18" w:history="1">
        <w:r w:rsidR="00FE1BDB" w:rsidRPr="0044605E">
          <w:rPr>
            <w:rStyle w:val="Hyperlink"/>
            <w:rFonts w:ascii="Garamond" w:hAnsi="Garamond"/>
          </w:rPr>
          <w:t>https://www.tandfonline.com/doi/full/10.1080/00273171.2024.2428222</w:t>
        </w:r>
      </w:hyperlink>
      <w:r w:rsidR="00FE1BDB">
        <w:rPr>
          <w:rFonts w:ascii="Garamond" w:hAnsi="Garamond"/>
        </w:rPr>
        <w:t xml:space="preserve"> </w:t>
      </w:r>
      <w:r w:rsidR="00334C37">
        <w:rPr>
          <w:rFonts w:ascii="Garamond" w:hAnsi="Garamond"/>
        </w:rPr>
        <w:t>: “</w:t>
      </w:r>
      <w:r w:rsidR="00334C37" w:rsidRPr="00334C37">
        <w:rPr>
          <w:rFonts w:ascii="Garamond" w:hAnsi="Garamond"/>
        </w:rPr>
        <w:t xml:space="preserve">Results highlight that not considering directional concurrent effects may lead to biased cross-lagged effects. Thus, it is essential to carefully consider potential directional </w:t>
      </w:r>
      <w:r w:rsidR="00334C37" w:rsidRPr="00334C37">
        <w:rPr>
          <w:rFonts w:ascii="Garamond" w:hAnsi="Garamond"/>
        </w:rPr>
        <w:lastRenderedPageBreak/>
        <w:t>concurrent effects when choosing models to analyze directional associations between variables over time.</w:t>
      </w:r>
      <w:r w:rsidR="00334C37">
        <w:rPr>
          <w:rFonts w:ascii="Garamond" w:hAnsi="Garamond"/>
        </w:rPr>
        <w:t>”</w:t>
      </w:r>
    </w:p>
    <w:p w14:paraId="4A257A40" w14:textId="1783BCF2" w:rsidR="006F7754" w:rsidRDefault="006F7754" w:rsidP="006F7754">
      <w:pPr>
        <w:pStyle w:val="ListParagraph"/>
        <w:numPr>
          <w:ilvl w:val="2"/>
          <w:numId w:val="8"/>
        </w:numPr>
        <w:spacing w:after="120" w:line="240" w:lineRule="auto"/>
        <w:rPr>
          <w:rFonts w:ascii="Garamond" w:hAnsi="Garamond"/>
        </w:rPr>
      </w:pPr>
      <w:r>
        <w:rPr>
          <w:rFonts w:ascii="Garamond" w:hAnsi="Garamond"/>
        </w:rPr>
        <w:t>In JDLCC alone:</w:t>
      </w:r>
    </w:p>
    <w:p w14:paraId="5F81E787" w14:textId="38BF8072" w:rsidR="006F7754" w:rsidRDefault="006F7754" w:rsidP="006F7754">
      <w:pPr>
        <w:pStyle w:val="ListParagraph"/>
        <w:numPr>
          <w:ilvl w:val="3"/>
          <w:numId w:val="8"/>
        </w:numPr>
        <w:spacing w:after="120" w:line="240" w:lineRule="auto"/>
        <w:rPr>
          <w:rFonts w:ascii="Garamond" w:hAnsi="Garamond"/>
        </w:rPr>
      </w:pPr>
      <w:r>
        <w:rPr>
          <w:rFonts w:ascii="Garamond" w:hAnsi="Garamond"/>
        </w:rPr>
        <w:t xml:space="preserve">Forney &amp; Ward (2019) on identity, peer resistance, and antisocial influence </w:t>
      </w:r>
      <w:hyperlink r:id="rId19" w:history="1">
        <w:r w:rsidR="009A789C" w:rsidRPr="0044605E">
          <w:rPr>
            <w:rStyle w:val="Hyperlink"/>
            <w:rFonts w:ascii="Garamond" w:hAnsi="Garamond"/>
          </w:rPr>
          <w:t>https://link.springer.com/article/10.1007/s40865-018-0102-0</w:t>
        </w:r>
      </w:hyperlink>
    </w:p>
    <w:p w14:paraId="0434BB48" w14:textId="36A7FE3E" w:rsidR="009A789C" w:rsidRDefault="009A789C" w:rsidP="006F7754">
      <w:pPr>
        <w:pStyle w:val="ListParagraph"/>
        <w:numPr>
          <w:ilvl w:val="3"/>
          <w:numId w:val="8"/>
        </w:numPr>
        <w:spacing w:after="120" w:line="240" w:lineRule="auto"/>
        <w:rPr>
          <w:rFonts w:ascii="Garamond" w:hAnsi="Garamond"/>
        </w:rPr>
      </w:pPr>
      <w:r>
        <w:rPr>
          <w:rFonts w:ascii="Garamond" w:hAnsi="Garamond"/>
        </w:rPr>
        <w:t xml:space="preserve">Chen &amp; Nichols (2026) on correctional time and perceptions of legitimacy / legal cynicism </w:t>
      </w:r>
      <w:hyperlink r:id="rId20" w:history="1">
        <w:r w:rsidRPr="0044605E">
          <w:rPr>
            <w:rStyle w:val="Hyperlink"/>
            <w:rFonts w:ascii="Garamond" w:hAnsi="Garamond"/>
          </w:rPr>
          <w:t>https://link.springer.com/article/10.1007/s40865-026-00298-9</w:t>
        </w:r>
      </w:hyperlink>
    </w:p>
    <w:p w14:paraId="26408807" w14:textId="36FAC7D8" w:rsidR="002F6E12" w:rsidRPr="00DF6202" w:rsidRDefault="002F6E12" w:rsidP="00DF6202">
      <w:pPr>
        <w:pStyle w:val="ListParagraph"/>
        <w:numPr>
          <w:ilvl w:val="3"/>
          <w:numId w:val="8"/>
        </w:numPr>
        <w:spacing w:after="120" w:line="240" w:lineRule="auto"/>
        <w:rPr>
          <w:rFonts w:ascii="Garamond" w:hAnsi="Garamond"/>
        </w:rPr>
      </w:pPr>
      <w:r>
        <w:rPr>
          <w:rFonts w:ascii="Garamond" w:hAnsi="Garamond"/>
        </w:rPr>
        <w:t xml:space="preserve">Wiesner et al. (2022) on mental health and self-reported offending </w:t>
      </w:r>
      <w:hyperlink r:id="rId21" w:history="1">
        <w:r w:rsidRPr="0044605E">
          <w:rPr>
            <w:rStyle w:val="Hyperlink"/>
            <w:rFonts w:ascii="Garamond" w:hAnsi="Garamond"/>
          </w:rPr>
          <w:t>https://link.springer.com/article/10.1007/s40865-022-00221-y</w:t>
        </w:r>
      </w:hyperlink>
    </w:p>
    <w:p w14:paraId="15AD7A5C" w14:textId="77777777" w:rsidR="00AC56F2" w:rsidRPr="00AC56F2" w:rsidRDefault="00AC56F2" w:rsidP="00AC56F2">
      <w:pPr>
        <w:spacing w:after="120" w:line="240" w:lineRule="auto"/>
        <w:rPr>
          <w:rFonts w:ascii="Garamond" w:hAnsi="Garamond"/>
        </w:rPr>
      </w:pPr>
    </w:p>
    <w:p w14:paraId="54DA439C" w14:textId="081C6912" w:rsidR="00AC56F2" w:rsidRPr="00D20E6D" w:rsidRDefault="00AC56F2" w:rsidP="00D20E6D">
      <w:pPr>
        <w:spacing w:after="120" w:line="240" w:lineRule="auto"/>
        <w:ind w:left="720"/>
        <w:rPr>
          <w:rFonts w:ascii="Garamond" w:hAnsi="Garamond"/>
          <w:i/>
          <w:iCs/>
        </w:rPr>
      </w:pPr>
      <w:r w:rsidRPr="009E0E15">
        <w:rPr>
          <w:rFonts w:ascii="Garamond" w:hAnsi="Garamond"/>
          <w:i/>
          <w:iCs/>
        </w:rPr>
        <w:t>On page 19, again I feel it is a bit too abstracted to get a sense of how this problem looks in empirical literature. It may be that it is difficult to recognize, but as a reader I am wondering if and when issues with temporal order have led to mixed or unexpected results in criminological research. Can the authors provide some empirical examples of this problem?</w:t>
      </w:r>
    </w:p>
    <w:p w14:paraId="5460A24B" w14:textId="77777777" w:rsidR="00AC56F2" w:rsidRPr="009E0E15" w:rsidRDefault="00AC56F2" w:rsidP="00AC56F2">
      <w:pPr>
        <w:spacing w:after="120" w:line="240" w:lineRule="auto"/>
        <w:ind w:left="720"/>
        <w:rPr>
          <w:rFonts w:ascii="Garamond" w:hAnsi="Garamond"/>
          <w:i/>
          <w:iCs/>
        </w:rPr>
      </w:pPr>
      <w:r w:rsidRPr="009E0E15">
        <w:rPr>
          <w:rFonts w:ascii="Garamond" w:hAnsi="Garamond"/>
          <w:i/>
          <w:iCs/>
        </w:rPr>
        <w:t>On page 20, I have the same comment. The authors at one point state “These issues are common in developmental studies of individuals…etc” and provide a citation, but I was left wondering about those common issues, what do they look like? Can the authors provide some concrete examples in the text alongside the discussion of the more technical issues?</w:t>
      </w:r>
    </w:p>
    <w:p w14:paraId="2E2437A6" w14:textId="77777777" w:rsidR="00E5642A" w:rsidRDefault="00D20E6D" w:rsidP="00D20E6D">
      <w:pPr>
        <w:spacing w:after="120" w:line="240" w:lineRule="auto"/>
        <w:rPr>
          <w:rFonts w:ascii="Garamond" w:hAnsi="Garamond"/>
          <w:b/>
          <w:bCs/>
        </w:rPr>
      </w:pPr>
      <w:r>
        <w:rPr>
          <w:rFonts w:ascii="Garamond" w:hAnsi="Garamond"/>
        </w:rPr>
        <w:t>TO DO:</w:t>
      </w:r>
      <w:r w:rsidR="0061194B">
        <w:rPr>
          <w:rFonts w:ascii="Garamond" w:hAnsi="Garamond"/>
        </w:rPr>
        <w:t xml:space="preserve"> </w:t>
      </w:r>
      <w:r w:rsidR="00E5642A">
        <w:rPr>
          <w:rFonts w:ascii="Garamond" w:hAnsi="Garamond"/>
          <w:b/>
          <w:bCs/>
        </w:rPr>
        <w:t xml:space="preserve">Thiago then me. </w:t>
      </w:r>
    </w:p>
    <w:p w14:paraId="2F15E06E" w14:textId="43E5EBB3" w:rsidR="00D20E6D" w:rsidRDefault="0061194B" w:rsidP="00E5642A">
      <w:pPr>
        <w:pStyle w:val="ListParagraph"/>
        <w:numPr>
          <w:ilvl w:val="0"/>
          <w:numId w:val="8"/>
        </w:numPr>
        <w:spacing w:after="120" w:line="240" w:lineRule="auto"/>
        <w:rPr>
          <w:rFonts w:ascii="Garamond" w:hAnsi="Garamond"/>
        </w:rPr>
      </w:pPr>
      <w:r w:rsidRPr="00E5642A">
        <w:rPr>
          <w:rFonts w:ascii="Garamond" w:hAnsi="Garamond"/>
        </w:rPr>
        <w:t xml:space="preserve">Find empirical examples </w:t>
      </w:r>
      <w:r w:rsidR="00076829" w:rsidRPr="00E5642A">
        <w:rPr>
          <w:rFonts w:ascii="Garamond" w:hAnsi="Garamond"/>
        </w:rPr>
        <w:t>of (a) sign flips from misspecification and (b) insufficient intertemporal variation.</w:t>
      </w:r>
      <w:r w:rsidR="00BA195A" w:rsidRPr="00E5642A">
        <w:rPr>
          <w:rFonts w:ascii="Garamond" w:hAnsi="Garamond"/>
        </w:rPr>
        <w:t xml:space="preserve"> In ideal world, we’d have some in our employment or fear/disorder areas, but might be tricky.</w:t>
      </w:r>
      <w:r w:rsidR="00E97E4C">
        <w:rPr>
          <w:rFonts w:ascii="Garamond" w:hAnsi="Garamond"/>
        </w:rPr>
        <w:t xml:space="preserve"> Easier to call out insufficient variation as it does not look like a “mistake”; be careful with sign flips.</w:t>
      </w:r>
    </w:p>
    <w:p w14:paraId="471C1532" w14:textId="01CC6844" w:rsidR="005E336A" w:rsidRPr="00E5642A" w:rsidRDefault="005E336A" w:rsidP="005E336A">
      <w:pPr>
        <w:pStyle w:val="ListParagraph"/>
        <w:numPr>
          <w:ilvl w:val="1"/>
          <w:numId w:val="8"/>
        </w:numPr>
        <w:spacing w:after="120" w:line="240" w:lineRule="auto"/>
        <w:rPr>
          <w:rFonts w:ascii="Garamond" w:hAnsi="Garamond"/>
        </w:rPr>
      </w:pPr>
      <w:r>
        <w:rPr>
          <w:rFonts w:ascii="Garamond" w:hAnsi="Garamond"/>
        </w:rPr>
        <w:t>Look at our own work first!</w:t>
      </w:r>
    </w:p>
    <w:p w14:paraId="754FB1C0" w14:textId="5175A437" w:rsidR="00D20E6D" w:rsidRDefault="00D20E6D" w:rsidP="00D20E6D">
      <w:pPr>
        <w:pStyle w:val="ListParagraph"/>
        <w:numPr>
          <w:ilvl w:val="0"/>
          <w:numId w:val="8"/>
        </w:numPr>
        <w:spacing w:after="120" w:line="240" w:lineRule="auto"/>
        <w:rPr>
          <w:rFonts w:ascii="Garamond" w:hAnsi="Garamond"/>
        </w:rPr>
      </w:pPr>
      <w:r>
        <w:rPr>
          <w:rFonts w:ascii="Garamond" w:hAnsi="Garamond"/>
        </w:rPr>
        <w:t>CCL: The trick about providing empirical example</w:t>
      </w:r>
      <w:r w:rsidR="00AC0D21">
        <w:rPr>
          <w:rFonts w:ascii="Garamond" w:hAnsi="Garamond"/>
        </w:rPr>
        <w:t>s</w:t>
      </w:r>
      <w:r>
        <w:rPr>
          <w:rFonts w:ascii="Garamond" w:hAnsi="Garamond"/>
        </w:rPr>
        <w:t xml:space="preserve"> is then having to call out people’s research for probably being the result of misspecification</w:t>
      </w:r>
      <w:r w:rsidR="00AC0D21">
        <w:rPr>
          <w:rFonts w:ascii="Garamond" w:hAnsi="Garamond"/>
        </w:rPr>
        <w:t xml:space="preserve"> or other issues</w:t>
      </w:r>
      <w:r>
        <w:rPr>
          <w:rFonts w:ascii="Garamond" w:hAnsi="Garamond"/>
        </w:rPr>
        <w:t>. I’d rather avoid doing that in the present paper, so we should look for empirical papers that in some way respond to prior work with these misspecification problems. Might be hard to find but worth having a couple illustrations IMO.</w:t>
      </w:r>
      <w:r w:rsidR="005B7378">
        <w:rPr>
          <w:rFonts w:ascii="Garamond" w:hAnsi="Garamond"/>
        </w:rPr>
        <w:t xml:space="preserve"> I’ve hinted or directly called out both the sign flips and lack of temporal variation in my neighborhoods review…</w:t>
      </w:r>
    </w:p>
    <w:p w14:paraId="00515C70" w14:textId="3E9B4F31" w:rsidR="0008433F" w:rsidRPr="00806499" w:rsidRDefault="0008433F" w:rsidP="00D20E6D">
      <w:pPr>
        <w:pStyle w:val="ListParagraph"/>
        <w:numPr>
          <w:ilvl w:val="0"/>
          <w:numId w:val="8"/>
        </w:numPr>
        <w:spacing w:after="120" w:line="240" w:lineRule="auto"/>
        <w:rPr>
          <w:rFonts w:ascii="Garamond" w:hAnsi="Garamond"/>
        </w:rPr>
      </w:pPr>
      <w:r>
        <w:rPr>
          <w:rFonts w:ascii="Garamond" w:hAnsi="Garamond"/>
        </w:rPr>
        <w:t>Might be pub bias toward sign flips</w:t>
      </w:r>
    </w:p>
    <w:p w14:paraId="1A3F034C" w14:textId="450D6CDB" w:rsidR="00AC56F2" w:rsidRDefault="00AC56F2" w:rsidP="00AC56F2">
      <w:pPr>
        <w:spacing w:after="120" w:line="240" w:lineRule="auto"/>
        <w:rPr>
          <w:rFonts w:ascii="Garamond" w:hAnsi="Garamond"/>
        </w:rPr>
      </w:pPr>
    </w:p>
    <w:p w14:paraId="34ECAF0B" w14:textId="77777777" w:rsidR="00AC56F2" w:rsidRPr="00AC56F2" w:rsidRDefault="00AC56F2" w:rsidP="00AC56F2">
      <w:pPr>
        <w:spacing w:after="120" w:line="240" w:lineRule="auto"/>
        <w:rPr>
          <w:rFonts w:ascii="Garamond" w:hAnsi="Garamond"/>
        </w:rPr>
      </w:pPr>
    </w:p>
    <w:p w14:paraId="27697FC8" w14:textId="7E6E2B3C" w:rsidR="00AC56F2" w:rsidRPr="009E0E15" w:rsidRDefault="00AC56F2" w:rsidP="00AC56F2">
      <w:pPr>
        <w:spacing w:after="120" w:line="240" w:lineRule="auto"/>
        <w:ind w:left="720"/>
        <w:rPr>
          <w:rFonts w:ascii="Garamond" w:hAnsi="Garamond"/>
          <w:i/>
          <w:iCs/>
        </w:rPr>
      </w:pPr>
      <w:r w:rsidRPr="009E0E15">
        <w:rPr>
          <w:rFonts w:ascii="Garamond" w:hAnsi="Garamond"/>
          <w:i/>
          <w:iCs/>
        </w:rPr>
        <w:t>Overall, bringing in more examples from theory and empirical work can help ground these issues and (in my view) reach a broader audience. The first half of the paper does a good job at connecting these issues with theory and research, and so the authors should simply continue that throughout the paper.</w:t>
      </w:r>
    </w:p>
    <w:p w14:paraId="5DEB7468" w14:textId="0D494DD4" w:rsidR="009A1D17" w:rsidRDefault="007F3F11" w:rsidP="00CE0279">
      <w:pPr>
        <w:spacing w:after="120" w:line="240" w:lineRule="auto"/>
        <w:rPr>
          <w:rFonts w:ascii="Garamond" w:hAnsi="Garamond"/>
        </w:rPr>
      </w:pPr>
      <w:r>
        <w:rPr>
          <w:rFonts w:ascii="Garamond" w:hAnsi="Garamond"/>
        </w:rPr>
        <w:t>We agree completely with this general thrust of these comments</w:t>
      </w:r>
      <w:r w:rsidR="00440D51">
        <w:rPr>
          <w:rFonts w:ascii="Garamond" w:hAnsi="Garamond"/>
        </w:rPr>
        <w:t xml:space="preserve"> and agree </w:t>
      </w:r>
      <w:r w:rsidR="00D509CA">
        <w:rPr>
          <w:rFonts w:ascii="Garamond" w:hAnsi="Garamond"/>
        </w:rPr>
        <w:t>that</w:t>
      </w:r>
      <w:r w:rsidR="00604745">
        <w:rPr>
          <w:rFonts w:ascii="Garamond" w:hAnsi="Garamond"/>
        </w:rPr>
        <w:t xml:space="preserve"> grounding the back end of the paper will make it connect better with our intended audience.</w:t>
      </w:r>
    </w:p>
    <w:p w14:paraId="611BC227" w14:textId="77777777" w:rsidR="00AC56F2" w:rsidRDefault="00AC56F2" w:rsidP="00CE0279">
      <w:pPr>
        <w:spacing w:after="120" w:line="240" w:lineRule="auto"/>
        <w:rPr>
          <w:rFonts w:ascii="Garamond" w:hAnsi="Garamond"/>
        </w:rPr>
      </w:pPr>
    </w:p>
    <w:p w14:paraId="35E6B0C2" w14:textId="77777777" w:rsidR="00AC56F2" w:rsidRDefault="00AC56F2" w:rsidP="00CE0279">
      <w:pPr>
        <w:spacing w:after="120" w:line="240" w:lineRule="auto"/>
        <w:rPr>
          <w:rFonts w:ascii="Garamond" w:hAnsi="Garamond"/>
        </w:rPr>
      </w:pPr>
    </w:p>
    <w:p w14:paraId="11D4F0E4" w14:textId="1E6E81BC" w:rsidR="007B18EB" w:rsidRDefault="007B18EB" w:rsidP="00CE0279">
      <w:pPr>
        <w:spacing w:after="120" w:line="240" w:lineRule="auto"/>
        <w:rPr>
          <w:rFonts w:ascii="Garamond" w:hAnsi="Garamond"/>
        </w:rPr>
      </w:pPr>
      <w:r>
        <w:rPr>
          <w:rFonts w:ascii="Garamond" w:hAnsi="Garamond"/>
        </w:rPr>
        <w:t>We hope you find these revisions to be a suitable response to the recommendations above.</w:t>
      </w:r>
    </w:p>
    <w:p w14:paraId="7BC7BFCF" w14:textId="77777777" w:rsidR="00FE445F" w:rsidRDefault="00FE445F" w:rsidP="00CE0279">
      <w:pPr>
        <w:rPr>
          <w:rFonts w:ascii="Garamond" w:hAnsi="Garamond"/>
        </w:rPr>
      </w:pPr>
    </w:p>
    <w:p w14:paraId="6AEDD46E" w14:textId="22FDC052" w:rsidR="00CE0279" w:rsidRPr="00084462" w:rsidRDefault="00CE0279" w:rsidP="00CE0279">
      <w:pPr>
        <w:rPr>
          <w:rFonts w:ascii="Garamond" w:hAnsi="Garamond"/>
        </w:rPr>
      </w:pPr>
      <w:r w:rsidRPr="00084462">
        <w:rPr>
          <w:rFonts w:ascii="Garamond" w:hAnsi="Garamond"/>
        </w:rPr>
        <w:t>Yours sincerely,</w:t>
      </w:r>
    </w:p>
    <w:p w14:paraId="40FB7F0A" w14:textId="1E2975A9" w:rsidR="00CE0279" w:rsidRPr="00084462" w:rsidRDefault="007B77EE" w:rsidP="00CE0279">
      <w:pPr>
        <w:rPr>
          <w:rFonts w:ascii="Garamond" w:hAnsi="Garamond"/>
        </w:rPr>
      </w:pPr>
      <w:r>
        <w:rPr>
          <w:rFonts w:ascii="Garamond" w:hAnsi="Garamond"/>
        </w:rPr>
        <w:t xml:space="preserve">Dr </w:t>
      </w:r>
      <w:r w:rsidR="00CE0279" w:rsidRPr="00084462">
        <w:rPr>
          <w:rFonts w:ascii="Garamond" w:hAnsi="Garamond"/>
        </w:rPr>
        <w:t>Charles C. Lanfear</w:t>
      </w:r>
    </w:p>
    <w:p w14:paraId="7BC67B0C" w14:textId="3C267418" w:rsidR="00896443" w:rsidRDefault="00896443" w:rsidP="00896443">
      <w:pPr>
        <w:spacing w:after="120" w:line="240" w:lineRule="auto"/>
        <w:rPr>
          <w:rFonts w:ascii="Garamond" w:hAnsi="Garamond"/>
        </w:rPr>
      </w:pPr>
    </w:p>
    <w:sectPr w:rsidR="00896443" w:rsidSect="002155F6">
      <w:footerReference w:type="default" r:id="rId22"/>
      <w:pgSz w:w="11907" w:h="16840" w:code="9"/>
      <w:pgMar w:top="1276" w:right="1276" w:bottom="1276" w:left="127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rles Lanfear" w:date="2026-05-20T11:04:00Z" w:initials="CL">
    <w:p w14:paraId="7D9F1DBD" w14:textId="77777777" w:rsidR="0046763E" w:rsidRDefault="0046763E" w:rsidP="0046763E">
      <w:pPr>
        <w:pStyle w:val="CommentText"/>
      </w:pPr>
      <w:r>
        <w:rPr>
          <w:rStyle w:val="CommentReference"/>
        </w:rPr>
        <w:annotationRef/>
      </w:r>
      <w:r>
        <w:t>Musings and notes I’m appending with my initials while actual TO DO items will just be bullet entries without initials.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9F1D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F64A77" w16cex:dateUtc="2026-05-20T1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9F1DBD" w16cid:durableId="0DF64A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97614" w14:textId="77777777" w:rsidR="00DB4166" w:rsidRDefault="00DB4166" w:rsidP="00084462">
      <w:pPr>
        <w:spacing w:after="0" w:line="240" w:lineRule="auto"/>
      </w:pPr>
      <w:r>
        <w:separator/>
      </w:r>
    </w:p>
  </w:endnote>
  <w:endnote w:type="continuationSeparator" w:id="0">
    <w:p w14:paraId="005D9595" w14:textId="77777777" w:rsidR="00DB4166" w:rsidRDefault="00DB4166" w:rsidP="00084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512AC" w14:textId="7F018143" w:rsidR="00084462" w:rsidRPr="00084462" w:rsidRDefault="00084462" w:rsidP="00084462">
    <w:pPr>
      <w:pStyle w:val="Footer"/>
      <w:tabs>
        <w:tab w:val="left" w:pos="6521"/>
      </w:tabs>
      <w:ind w:right="-426"/>
      <w:jc w:val="right"/>
      <w:rPr>
        <w:rFonts w:ascii="Garamond" w:hAnsi="Garamond" w:cs="Arial"/>
        <w:sz w:val="16"/>
      </w:rPr>
    </w:pPr>
    <w:r w:rsidRPr="00084462">
      <w:rPr>
        <w:rFonts w:ascii="Garamond" w:hAnsi="Garamond" w:cs="Arial"/>
        <w:sz w:val="16"/>
      </w:rPr>
      <w:t>Sidgwick Avenue</w:t>
    </w:r>
  </w:p>
  <w:p w14:paraId="56CA0323" w14:textId="77777777" w:rsidR="00084462" w:rsidRPr="00084462" w:rsidRDefault="00084462" w:rsidP="00084462">
    <w:pPr>
      <w:pStyle w:val="Footer"/>
      <w:tabs>
        <w:tab w:val="left" w:pos="6521"/>
      </w:tabs>
      <w:ind w:right="-426"/>
      <w:jc w:val="right"/>
      <w:rPr>
        <w:rFonts w:ascii="Garamond" w:hAnsi="Garamond" w:cs="Arial"/>
        <w:color w:val="000000"/>
        <w:szCs w:val="24"/>
        <w:lang w:val="en-GB" w:eastAsia="en-GB"/>
      </w:rPr>
    </w:pPr>
    <w:r w:rsidRPr="00084462">
      <w:rPr>
        <w:rFonts w:ascii="Garamond" w:hAnsi="Garamond" w:cs="Arial"/>
        <w:sz w:val="16"/>
      </w:rPr>
      <w:t>Cambridge, CB3 9DA</w:t>
    </w:r>
  </w:p>
  <w:p w14:paraId="1EE72777" w14:textId="77777777" w:rsidR="00084462" w:rsidRPr="00084462" w:rsidRDefault="00084462" w:rsidP="00084462">
    <w:pPr>
      <w:pStyle w:val="Footer"/>
      <w:tabs>
        <w:tab w:val="left" w:pos="6521"/>
      </w:tabs>
      <w:ind w:right="-426"/>
      <w:jc w:val="right"/>
      <w:rPr>
        <w:rFonts w:ascii="Garamond" w:hAnsi="Garamond" w:cs="Arial"/>
        <w:color w:val="000000"/>
        <w:sz w:val="16"/>
        <w:szCs w:val="16"/>
        <w:lang w:val="en-GB" w:eastAsia="en-GB"/>
      </w:rPr>
    </w:pPr>
    <w:r w:rsidRPr="00084462">
      <w:rPr>
        <w:rFonts w:ascii="Garamond" w:hAnsi="Garamond" w:cs="Arial"/>
        <w:color w:val="000000"/>
        <w:szCs w:val="24"/>
        <w:lang w:val="en-GB" w:eastAsia="en-GB"/>
      </w:rPr>
      <w:t xml:space="preserve"> </w:t>
    </w:r>
    <w:r w:rsidRPr="00084462">
      <w:rPr>
        <w:rFonts w:ascii="Garamond" w:hAnsi="Garamond" w:cs="Arial"/>
        <w:color w:val="000000"/>
        <w:sz w:val="16"/>
        <w:szCs w:val="16"/>
        <w:lang w:val="en-GB" w:eastAsia="en-GB"/>
      </w:rPr>
      <w:t xml:space="preserve">Tel: 07463 498382 </w:t>
    </w:r>
  </w:p>
  <w:p w14:paraId="24E1BA3A" w14:textId="77777777" w:rsidR="00084462" w:rsidRPr="00084462" w:rsidRDefault="00084462" w:rsidP="00084462">
    <w:pPr>
      <w:pStyle w:val="Footer"/>
      <w:tabs>
        <w:tab w:val="left" w:pos="6521"/>
      </w:tabs>
      <w:ind w:right="-426"/>
      <w:jc w:val="right"/>
      <w:rPr>
        <w:rFonts w:ascii="Garamond" w:hAnsi="Garamond" w:cs="Arial"/>
        <w:sz w:val="16"/>
      </w:rPr>
    </w:pPr>
    <w:r w:rsidRPr="00084462">
      <w:rPr>
        <w:rFonts w:ascii="Garamond" w:hAnsi="Garamond" w:cs="Arial"/>
        <w:sz w:val="16"/>
      </w:rPr>
      <w:t>Email: cl948@cam.ac.uk</w:t>
    </w:r>
  </w:p>
  <w:p w14:paraId="60764779" w14:textId="73AF1710" w:rsidR="00084462" w:rsidRPr="00084462" w:rsidRDefault="00084462" w:rsidP="00084462">
    <w:pPr>
      <w:pStyle w:val="Footer"/>
      <w:tabs>
        <w:tab w:val="left" w:pos="6521"/>
      </w:tabs>
      <w:ind w:right="-426"/>
      <w:jc w:val="right"/>
      <w:rPr>
        <w:rFonts w:ascii="Garamond" w:hAnsi="Garamond" w:cs="Arial"/>
        <w:sz w:val="16"/>
      </w:rPr>
    </w:pPr>
    <w:r w:rsidRPr="00084462">
      <w:rPr>
        <w:rFonts w:ascii="Garamond" w:hAnsi="Garamond" w:cs="Arial"/>
        <w:sz w:val="16"/>
      </w:rPr>
      <w:t>clanfear.github.io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4B674" w14:textId="77777777" w:rsidR="00DB4166" w:rsidRDefault="00DB4166" w:rsidP="00084462">
      <w:pPr>
        <w:spacing w:after="0" w:line="240" w:lineRule="auto"/>
      </w:pPr>
      <w:r>
        <w:separator/>
      </w:r>
    </w:p>
  </w:footnote>
  <w:footnote w:type="continuationSeparator" w:id="0">
    <w:p w14:paraId="7E099960" w14:textId="77777777" w:rsidR="00DB4166" w:rsidRDefault="00DB4166" w:rsidP="000844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192"/>
    <w:multiLevelType w:val="hybridMultilevel"/>
    <w:tmpl w:val="CBB69062"/>
    <w:lvl w:ilvl="0" w:tplc="434C4A32">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B243D"/>
    <w:multiLevelType w:val="hybridMultilevel"/>
    <w:tmpl w:val="7C9C147E"/>
    <w:lvl w:ilvl="0" w:tplc="344CA586">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5C11BA"/>
    <w:multiLevelType w:val="hybridMultilevel"/>
    <w:tmpl w:val="3142FCCE"/>
    <w:lvl w:ilvl="0" w:tplc="8CA067BC">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AB1712"/>
    <w:multiLevelType w:val="hybridMultilevel"/>
    <w:tmpl w:val="51323EEC"/>
    <w:lvl w:ilvl="0" w:tplc="E53275D0">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FE11BE"/>
    <w:multiLevelType w:val="hybridMultilevel"/>
    <w:tmpl w:val="02967184"/>
    <w:lvl w:ilvl="0" w:tplc="43242E34">
      <w:start w:val="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216A0A"/>
    <w:multiLevelType w:val="hybridMultilevel"/>
    <w:tmpl w:val="49189242"/>
    <w:lvl w:ilvl="0" w:tplc="79EE0B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D26223"/>
    <w:multiLevelType w:val="hybridMultilevel"/>
    <w:tmpl w:val="C73604F8"/>
    <w:lvl w:ilvl="0" w:tplc="94CE3D3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A777D5"/>
    <w:multiLevelType w:val="hybridMultilevel"/>
    <w:tmpl w:val="740663D8"/>
    <w:lvl w:ilvl="0" w:tplc="4CC8F4D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4389852">
    <w:abstractNumId w:val="4"/>
  </w:num>
  <w:num w:numId="2" w16cid:durableId="1679967844">
    <w:abstractNumId w:val="0"/>
  </w:num>
  <w:num w:numId="3" w16cid:durableId="1501386381">
    <w:abstractNumId w:val="7"/>
  </w:num>
  <w:num w:numId="4" w16cid:durableId="301467420">
    <w:abstractNumId w:val="3"/>
  </w:num>
  <w:num w:numId="5" w16cid:durableId="1091076062">
    <w:abstractNumId w:val="2"/>
  </w:num>
  <w:num w:numId="6" w16cid:durableId="1822455841">
    <w:abstractNumId w:val="6"/>
  </w:num>
  <w:num w:numId="7" w16cid:durableId="2127458616">
    <w:abstractNumId w:val="5"/>
  </w:num>
  <w:num w:numId="8" w16cid:durableId="58526867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es Lanfear">
    <w15:presenceInfo w15:providerId="Windows Live" w15:userId="090f7abe46c7f0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462"/>
    <w:rsid w:val="00034110"/>
    <w:rsid w:val="00041985"/>
    <w:rsid w:val="00047DBD"/>
    <w:rsid w:val="00052570"/>
    <w:rsid w:val="000543E8"/>
    <w:rsid w:val="00055494"/>
    <w:rsid w:val="00076829"/>
    <w:rsid w:val="000770C4"/>
    <w:rsid w:val="0008433F"/>
    <w:rsid w:val="00084462"/>
    <w:rsid w:val="00085998"/>
    <w:rsid w:val="000945C9"/>
    <w:rsid w:val="000A02A5"/>
    <w:rsid w:val="000C7195"/>
    <w:rsid w:val="000D080A"/>
    <w:rsid w:val="000D37E6"/>
    <w:rsid w:val="000E0178"/>
    <w:rsid w:val="000F516A"/>
    <w:rsid w:val="00100C1C"/>
    <w:rsid w:val="00104554"/>
    <w:rsid w:val="0012329B"/>
    <w:rsid w:val="00125203"/>
    <w:rsid w:val="001364DE"/>
    <w:rsid w:val="00141C5F"/>
    <w:rsid w:val="00152A8F"/>
    <w:rsid w:val="00155B40"/>
    <w:rsid w:val="001764E2"/>
    <w:rsid w:val="00195B59"/>
    <w:rsid w:val="001D0129"/>
    <w:rsid w:val="001D4C2C"/>
    <w:rsid w:val="001F05CB"/>
    <w:rsid w:val="002155F6"/>
    <w:rsid w:val="00237407"/>
    <w:rsid w:val="00237870"/>
    <w:rsid w:val="00240CDF"/>
    <w:rsid w:val="00253C68"/>
    <w:rsid w:val="0025714C"/>
    <w:rsid w:val="0026639C"/>
    <w:rsid w:val="0027282B"/>
    <w:rsid w:val="00273839"/>
    <w:rsid w:val="0027579C"/>
    <w:rsid w:val="002B1A61"/>
    <w:rsid w:val="002B5006"/>
    <w:rsid w:val="002B7689"/>
    <w:rsid w:val="002B7BDC"/>
    <w:rsid w:val="002C054E"/>
    <w:rsid w:val="002C6DC1"/>
    <w:rsid w:val="002C75B6"/>
    <w:rsid w:val="002C7F1B"/>
    <w:rsid w:val="002E1FF7"/>
    <w:rsid w:val="002F532D"/>
    <w:rsid w:val="002F6E12"/>
    <w:rsid w:val="0032305A"/>
    <w:rsid w:val="00334C37"/>
    <w:rsid w:val="00342608"/>
    <w:rsid w:val="003461D5"/>
    <w:rsid w:val="00363A4A"/>
    <w:rsid w:val="00380BE1"/>
    <w:rsid w:val="0038517A"/>
    <w:rsid w:val="00393074"/>
    <w:rsid w:val="00393104"/>
    <w:rsid w:val="003959EA"/>
    <w:rsid w:val="003A1376"/>
    <w:rsid w:val="003B68DA"/>
    <w:rsid w:val="003C0992"/>
    <w:rsid w:val="003C1332"/>
    <w:rsid w:val="003C4CED"/>
    <w:rsid w:val="003C6A56"/>
    <w:rsid w:val="003D0EA9"/>
    <w:rsid w:val="003D68F4"/>
    <w:rsid w:val="003D6C5B"/>
    <w:rsid w:val="004035E5"/>
    <w:rsid w:val="004106FA"/>
    <w:rsid w:val="0042250B"/>
    <w:rsid w:val="00423F66"/>
    <w:rsid w:val="00425008"/>
    <w:rsid w:val="004319C3"/>
    <w:rsid w:val="00440D51"/>
    <w:rsid w:val="004474DE"/>
    <w:rsid w:val="00447552"/>
    <w:rsid w:val="0046763E"/>
    <w:rsid w:val="0047705A"/>
    <w:rsid w:val="00484AFB"/>
    <w:rsid w:val="004910F3"/>
    <w:rsid w:val="00491BA7"/>
    <w:rsid w:val="00495CC9"/>
    <w:rsid w:val="004A13F4"/>
    <w:rsid w:val="004A6DA7"/>
    <w:rsid w:val="004B1495"/>
    <w:rsid w:val="004B38A9"/>
    <w:rsid w:val="004C26A9"/>
    <w:rsid w:val="004C3BBB"/>
    <w:rsid w:val="004D2D02"/>
    <w:rsid w:val="004D4C8A"/>
    <w:rsid w:val="004F50E1"/>
    <w:rsid w:val="004F6678"/>
    <w:rsid w:val="00501438"/>
    <w:rsid w:val="00506A37"/>
    <w:rsid w:val="005205BC"/>
    <w:rsid w:val="00520B45"/>
    <w:rsid w:val="005321F3"/>
    <w:rsid w:val="005574A3"/>
    <w:rsid w:val="0058241D"/>
    <w:rsid w:val="00584DE1"/>
    <w:rsid w:val="00585CE0"/>
    <w:rsid w:val="005A285D"/>
    <w:rsid w:val="005B0B4D"/>
    <w:rsid w:val="005B7378"/>
    <w:rsid w:val="005C7D66"/>
    <w:rsid w:val="005D1CE8"/>
    <w:rsid w:val="005E336A"/>
    <w:rsid w:val="005F586D"/>
    <w:rsid w:val="00604745"/>
    <w:rsid w:val="00611617"/>
    <w:rsid w:val="00611789"/>
    <w:rsid w:val="0061194B"/>
    <w:rsid w:val="00631A09"/>
    <w:rsid w:val="00637AA3"/>
    <w:rsid w:val="0064430B"/>
    <w:rsid w:val="00655AAC"/>
    <w:rsid w:val="00660065"/>
    <w:rsid w:val="006631A3"/>
    <w:rsid w:val="006749E8"/>
    <w:rsid w:val="00680182"/>
    <w:rsid w:val="00690C4F"/>
    <w:rsid w:val="00694049"/>
    <w:rsid w:val="00694186"/>
    <w:rsid w:val="006A6D13"/>
    <w:rsid w:val="006D0EA9"/>
    <w:rsid w:val="006D1ACF"/>
    <w:rsid w:val="006F7754"/>
    <w:rsid w:val="007112CF"/>
    <w:rsid w:val="00751F93"/>
    <w:rsid w:val="00754B28"/>
    <w:rsid w:val="00756D58"/>
    <w:rsid w:val="007613FE"/>
    <w:rsid w:val="00762B1B"/>
    <w:rsid w:val="00773351"/>
    <w:rsid w:val="00774553"/>
    <w:rsid w:val="00774B73"/>
    <w:rsid w:val="007A2ED2"/>
    <w:rsid w:val="007A479B"/>
    <w:rsid w:val="007B04A3"/>
    <w:rsid w:val="007B18EB"/>
    <w:rsid w:val="007B77EE"/>
    <w:rsid w:val="007D2B6A"/>
    <w:rsid w:val="007D5A6F"/>
    <w:rsid w:val="007E254D"/>
    <w:rsid w:val="007E3213"/>
    <w:rsid w:val="007F1884"/>
    <w:rsid w:val="007F18F4"/>
    <w:rsid w:val="007F3F11"/>
    <w:rsid w:val="00806499"/>
    <w:rsid w:val="00821285"/>
    <w:rsid w:val="008268F3"/>
    <w:rsid w:val="00861620"/>
    <w:rsid w:val="00864F6E"/>
    <w:rsid w:val="00872975"/>
    <w:rsid w:val="00875BC4"/>
    <w:rsid w:val="00877157"/>
    <w:rsid w:val="008844C4"/>
    <w:rsid w:val="00893AB2"/>
    <w:rsid w:val="00896443"/>
    <w:rsid w:val="00896D02"/>
    <w:rsid w:val="008A2E9C"/>
    <w:rsid w:val="008B1BB6"/>
    <w:rsid w:val="008C2760"/>
    <w:rsid w:val="008C696F"/>
    <w:rsid w:val="008C7D21"/>
    <w:rsid w:val="008D1C0A"/>
    <w:rsid w:val="008D3A0B"/>
    <w:rsid w:val="008E1241"/>
    <w:rsid w:val="00904767"/>
    <w:rsid w:val="00915CDF"/>
    <w:rsid w:val="00915D56"/>
    <w:rsid w:val="00934975"/>
    <w:rsid w:val="00945C38"/>
    <w:rsid w:val="0095040E"/>
    <w:rsid w:val="00954C31"/>
    <w:rsid w:val="009770C6"/>
    <w:rsid w:val="0099192C"/>
    <w:rsid w:val="009A1D17"/>
    <w:rsid w:val="009A789C"/>
    <w:rsid w:val="009B50A3"/>
    <w:rsid w:val="009B5BE7"/>
    <w:rsid w:val="009C2CF4"/>
    <w:rsid w:val="009D1FD6"/>
    <w:rsid w:val="009D207C"/>
    <w:rsid w:val="009D5F8A"/>
    <w:rsid w:val="009E0E15"/>
    <w:rsid w:val="009E7605"/>
    <w:rsid w:val="009E7826"/>
    <w:rsid w:val="00A0164C"/>
    <w:rsid w:val="00A0719C"/>
    <w:rsid w:val="00A12B73"/>
    <w:rsid w:val="00A24493"/>
    <w:rsid w:val="00A3213F"/>
    <w:rsid w:val="00A32C24"/>
    <w:rsid w:val="00A453E3"/>
    <w:rsid w:val="00A47FCE"/>
    <w:rsid w:val="00A560B8"/>
    <w:rsid w:val="00A62AA8"/>
    <w:rsid w:val="00A65F32"/>
    <w:rsid w:val="00A66D24"/>
    <w:rsid w:val="00A859B3"/>
    <w:rsid w:val="00AA1649"/>
    <w:rsid w:val="00AA68A6"/>
    <w:rsid w:val="00AB0DBC"/>
    <w:rsid w:val="00AC0D21"/>
    <w:rsid w:val="00AC56F2"/>
    <w:rsid w:val="00AC67E1"/>
    <w:rsid w:val="00AD7CEF"/>
    <w:rsid w:val="00AE0D19"/>
    <w:rsid w:val="00B00E43"/>
    <w:rsid w:val="00B155E2"/>
    <w:rsid w:val="00B1694C"/>
    <w:rsid w:val="00B27AA7"/>
    <w:rsid w:val="00B37A1E"/>
    <w:rsid w:val="00B4445E"/>
    <w:rsid w:val="00B56A66"/>
    <w:rsid w:val="00B71564"/>
    <w:rsid w:val="00B811D8"/>
    <w:rsid w:val="00B82DF4"/>
    <w:rsid w:val="00B906A3"/>
    <w:rsid w:val="00B92D20"/>
    <w:rsid w:val="00BA05B3"/>
    <w:rsid w:val="00BA195A"/>
    <w:rsid w:val="00BB3997"/>
    <w:rsid w:val="00BF19B5"/>
    <w:rsid w:val="00BF7522"/>
    <w:rsid w:val="00C015BC"/>
    <w:rsid w:val="00C15597"/>
    <w:rsid w:val="00C3325D"/>
    <w:rsid w:val="00C65AAF"/>
    <w:rsid w:val="00C74BF1"/>
    <w:rsid w:val="00C85322"/>
    <w:rsid w:val="00CA07C9"/>
    <w:rsid w:val="00CA4E1D"/>
    <w:rsid w:val="00CB0AB8"/>
    <w:rsid w:val="00CE0279"/>
    <w:rsid w:val="00CE19DD"/>
    <w:rsid w:val="00CE46A0"/>
    <w:rsid w:val="00CE4BC5"/>
    <w:rsid w:val="00CE7A2A"/>
    <w:rsid w:val="00D006FB"/>
    <w:rsid w:val="00D16330"/>
    <w:rsid w:val="00D20E6D"/>
    <w:rsid w:val="00D2354D"/>
    <w:rsid w:val="00D4776C"/>
    <w:rsid w:val="00D509CA"/>
    <w:rsid w:val="00D530F5"/>
    <w:rsid w:val="00D853D8"/>
    <w:rsid w:val="00D86EDC"/>
    <w:rsid w:val="00D90A81"/>
    <w:rsid w:val="00D92CD7"/>
    <w:rsid w:val="00D94389"/>
    <w:rsid w:val="00D94A80"/>
    <w:rsid w:val="00D9684D"/>
    <w:rsid w:val="00DA5841"/>
    <w:rsid w:val="00DA5B89"/>
    <w:rsid w:val="00DB4166"/>
    <w:rsid w:val="00DB4F02"/>
    <w:rsid w:val="00DC5617"/>
    <w:rsid w:val="00DD0687"/>
    <w:rsid w:val="00DD59E5"/>
    <w:rsid w:val="00DE0802"/>
    <w:rsid w:val="00DF6202"/>
    <w:rsid w:val="00E012EB"/>
    <w:rsid w:val="00E3704A"/>
    <w:rsid w:val="00E379A7"/>
    <w:rsid w:val="00E41DAA"/>
    <w:rsid w:val="00E5642A"/>
    <w:rsid w:val="00E672F5"/>
    <w:rsid w:val="00E92DAA"/>
    <w:rsid w:val="00E97E4C"/>
    <w:rsid w:val="00EA1AD3"/>
    <w:rsid w:val="00EA3F75"/>
    <w:rsid w:val="00EB5DD1"/>
    <w:rsid w:val="00EB72EF"/>
    <w:rsid w:val="00EC351B"/>
    <w:rsid w:val="00ED174F"/>
    <w:rsid w:val="00ED7227"/>
    <w:rsid w:val="00EF7A00"/>
    <w:rsid w:val="00F015BD"/>
    <w:rsid w:val="00F01C17"/>
    <w:rsid w:val="00F036AA"/>
    <w:rsid w:val="00F110A0"/>
    <w:rsid w:val="00F174E8"/>
    <w:rsid w:val="00F21415"/>
    <w:rsid w:val="00F30767"/>
    <w:rsid w:val="00F335D8"/>
    <w:rsid w:val="00F34506"/>
    <w:rsid w:val="00F36262"/>
    <w:rsid w:val="00F53C49"/>
    <w:rsid w:val="00F61F0C"/>
    <w:rsid w:val="00F64500"/>
    <w:rsid w:val="00F676DE"/>
    <w:rsid w:val="00F742EB"/>
    <w:rsid w:val="00F76A3C"/>
    <w:rsid w:val="00F7744D"/>
    <w:rsid w:val="00F87D62"/>
    <w:rsid w:val="00F92D3E"/>
    <w:rsid w:val="00FA0931"/>
    <w:rsid w:val="00FB1583"/>
    <w:rsid w:val="00FE1BDB"/>
    <w:rsid w:val="00FE3746"/>
    <w:rsid w:val="00FE445F"/>
    <w:rsid w:val="00FF6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0DAC1"/>
  <w15:docId w15:val="{A59D77FB-2EC4-45AE-B01C-91937D929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F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ubleSpaced">
    <w:name w:val="Double Spaced"/>
    <w:basedOn w:val="Normal"/>
    <w:link w:val="DoubleSpacedChar"/>
    <w:qFormat/>
    <w:rsid w:val="009D1FD6"/>
    <w:pPr>
      <w:spacing w:after="0" w:line="480" w:lineRule="auto"/>
      <w:ind w:firstLine="720"/>
    </w:pPr>
    <w:rPr>
      <w:rFonts w:ascii="Times New Roman" w:hAnsi="Times New Roman" w:cs="Times New Roman"/>
      <w:sz w:val="24"/>
      <w:szCs w:val="24"/>
    </w:rPr>
  </w:style>
  <w:style w:type="character" w:customStyle="1" w:styleId="DoubleSpacedChar">
    <w:name w:val="Double Spaced Char"/>
    <w:basedOn w:val="DefaultParagraphFont"/>
    <w:link w:val="DoubleSpaced"/>
    <w:rsid w:val="009D1FD6"/>
    <w:rPr>
      <w:rFonts w:ascii="Times New Roman" w:hAnsi="Times New Roman" w:cs="Times New Roman"/>
      <w:sz w:val="24"/>
      <w:szCs w:val="24"/>
    </w:rPr>
  </w:style>
  <w:style w:type="paragraph" w:customStyle="1" w:styleId="FIGURE">
    <w:name w:val="FIGURE"/>
    <w:basedOn w:val="Normal"/>
    <w:link w:val="FIGUREChar"/>
    <w:qFormat/>
    <w:rsid w:val="009D1FD6"/>
    <w:pPr>
      <w:spacing w:before="140" w:line="360" w:lineRule="auto"/>
      <w:jc w:val="center"/>
      <w:outlineLvl w:val="2"/>
    </w:pPr>
    <w:rPr>
      <w:rFonts w:ascii="Times New Roman" w:hAnsi="Times New Roman" w:cs="Times New Roman"/>
      <w:i/>
      <w:sz w:val="24"/>
      <w:szCs w:val="24"/>
    </w:rPr>
  </w:style>
  <w:style w:type="character" w:customStyle="1" w:styleId="FIGUREChar">
    <w:name w:val="FIGURE Char"/>
    <w:basedOn w:val="DefaultParagraphFont"/>
    <w:link w:val="FIGURE"/>
    <w:rsid w:val="009D1FD6"/>
    <w:rPr>
      <w:rFonts w:ascii="Times New Roman" w:hAnsi="Times New Roman" w:cs="Times New Roman"/>
      <w:i/>
      <w:sz w:val="24"/>
      <w:szCs w:val="24"/>
    </w:rPr>
  </w:style>
  <w:style w:type="paragraph" w:customStyle="1" w:styleId="HEADER1">
    <w:name w:val="HEADER1"/>
    <w:basedOn w:val="Normal"/>
    <w:next w:val="DoubleSpaced"/>
    <w:link w:val="HEADER1Char"/>
    <w:qFormat/>
    <w:rsid w:val="009D1FD6"/>
    <w:pPr>
      <w:spacing w:before="140" w:after="0" w:line="480" w:lineRule="auto"/>
      <w:outlineLvl w:val="0"/>
    </w:pPr>
    <w:rPr>
      <w:rFonts w:ascii="Times New Roman" w:hAnsi="Times New Roman" w:cs="Times New Roman"/>
      <w:i/>
      <w:sz w:val="24"/>
      <w:szCs w:val="24"/>
    </w:rPr>
  </w:style>
  <w:style w:type="character" w:customStyle="1" w:styleId="HEADER1Char">
    <w:name w:val="HEADER1 Char"/>
    <w:basedOn w:val="DefaultParagraphFont"/>
    <w:link w:val="HEADER1"/>
    <w:rsid w:val="009D1FD6"/>
    <w:rPr>
      <w:rFonts w:ascii="Times New Roman" w:hAnsi="Times New Roman" w:cs="Times New Roman"/>
      <w:i/>
      <w:sz w:val="24"/>
      <w:szCs w:val="24"/>
    </w:rPr>
  </w:style>
  <w:style w:type="paragraph" w:customStyle="1" w:styleId="HEADER2">
    <w:name w:val="HEADER2"/>
    <w:basedOn w:val="HEADER1"/>
    <w:qFormat/>
    <w:rsid w:val="009D1FD6"/>
    <w:pPr>
      <w:ind w:firstLine="720"/>
      <w:outlineLvl w:val="1"/>
    </w:pPr>
  </w:style>
  <w:style w:type="paragraph" w:customStyle="1" w:styleId="HEADER3">
    <w:name w:val="HEADER3"/>
    <w:basedOn w:val="HEADER2"/>
    <w:qFormat/>
    <w:rsid w:val="009D1FD6"/>
    <w:pPr>
      <w:outlineLvl w:val="2"/>
    </w:pPr>
  </w:style>
  <w:style w:type="paragraph" w:styleId="Header">
    <w:name w:val="header"/>
    <w:basedOn w:val="Normal"/>
    <w:link w:val="HeaderChar"/>
    <w:uiPriority w:val="99"/>
    <w:unhideWhenUsed/>
    <w:rsid w:val="000844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4462"/>
  </w:style>
  <w:style w:type="paragraph" w:styleId="Footer">
    <w:name w:val="footer"/>
    <w:basedOn w:val="Normal"/>
    <w:link w:val="FooterChar"/>
    <w:uiPriority w:val="99"/>
    <w:unhideWhenUsed/>
    <w:rsid w:val="000844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4462"/>
  </w:style>
  <w:style w:type="table" w:styleId="TableGrid">
    <w:name w:val="Table Grid"/>
    <w:basedOn w:val="TableNormal"/>
    <w:uiPriority w:val="39"/>
    <w:rsid w:val="00084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0CDF"/>
    <w:pPr>
      <w:ind w:left="720"/>
      <w:contextualSpacing/>
    </w:pPr>
  </w:style>
  <w:style w:type="character" w:styleId="CommentReference">
    <w:name w:val="annotation reference"/>
    <w:basedOn w:val="DefaultParagraphFont"/>
    <w:uiPriority w:val="99"/>
    <w:semiHidden/>
    <w:unhideWhenUsed/>
    <w:rsid w:val="00611617"/>
    <w:rPr>
      <w:sz w:val="16"/>
      <w:szCs w:val="16"/>
    </w:rPr>
  </w:style>
  <w:style w:type="paragraph" w:styleId="CommentText">
    <w:name w:val="annotation text"/>
    <w:basedOn w:val="Normal"/>
    <w:link w:val="CommentTextChar"/>
    <w:uiPriority w:val="99"/>
    <w:unhideWhenUsed/>
    <w:rsid w:val="00611617"/>
    <w:pPr>
      <w:spacing w:line="240" w:lineRule="auto"/>
    </w:pPr>
    <w:rPr>
      <w:sz w:val="20"/>
      <w:szCs w:val="20"/>
    </w:rPr>
  </w:style>
  <w:style w:type="character" w:customStyle="1" w:styleId="CommentTextChar">
    <w:name w:val="Comment Text Char"/>
    <w:basedOn w:val="DefaultParagraphFont"/>
    <w:link w:val="CommentText"/>
    <w:uiPriority w:val="99"/>
    <w:rsid w:val="00611617"/>
    <w:rPr>
      <w:sz w:val="20"/>
      <w:szCs w:val="20"/>
    </w:rPr>
  </w:style>
  <w:style w:type="paragraph" w:styleId="CommentSubject">
    <w:name w:val="annotation subject"/>
    <w:basedOn w:val="CommentText"/>
    <w:next w:val="CommentText"/>
    <w:link w:val="CommentSubjectChar"/>
    <w:uiPriority w:val="99"/>
    <w:semiHidden/>
    <w:unhideWhenUsed/>
    <w:rsid w:val="00611617"/>
    <w:rPr>
      <w:b/>
      <w:bCs/>
    </w:rPr>
  </w:style>
  <w:style w:type="character" w:customStyle="1" w:styleId="CommentSubjectChar">
    <w:name w:val="Comment Subject Char"/>
    <w:basedOn w:val="CommentTextChar"/>
    <w:link w:val="CommentSubject"/>
    <w:uiPriority w:val="99"/>
    <w:semiHidden/>
    <w:rsid w:val="00611617"/>
    <w:rPr>
      <w:b/>
      <w:bCs/>
      <w:sz w:val="20"/>
      <w:szCs w:val="20"/>
    </w:rPr>
  </w:style>
  <w:style w:type="paragraph" w:styleId="Revision">
    <w:name w:val="Revision"/>
    <w:hidden/>
    <w:uiPriority w:val="99"/>
    <w:semiHidden/>
    <w:rsid w:val="00125203"/>
    <w:pPr>
      <w:spacing w:after="0" w:line="240" w:lineRule="auto"/>
    </w:pPr>
  </w:style>
  <w:style w:type="character" w:styleId="Hyperlink">
    <w:name w:val="Hyperlink"/>
    <w:basedOn w:val="DefaultParagraphFont"/>
    <w:uiPriority w:val="99"/>
    <w:unhideWhenUsed/>
    <w:rsid w:val="00D006FB"/>
    <w:rPr>
      <w:color w:val="0563C1" w:themeColor="hyperlink"/>
      <w:u w:val="single"/>
    </w:rPr>
  </w:style>
  <w:style w:type="character" w:styleId="UnresolvedMention">
    <w:name w:val="Unresolved Mention"/>
    <w:basedOn w:val="DefaultParagraphFont"/>
    <w:uiPriority w:val="99"/>
    <w:semiHidden/>
    <w:unhideWhenUsed/>
    <w:rsid w:val="00D00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ww.tandfonline.com/doi/full/10.1080/00273171.2024.2428222" TargetMode="External"/><Relationship Id="rId3" Type="http://schemas.openxmlformats.org/officeDocument/2006/relationships/customXml" Target="../customXml/item3.xml"/><Relationship Id="rId21" Type="http://schemas.openxmlformats.org/officeDocument/2006/relationships/hyperlink" Target="https://link.springer.com/article/10.1007/s40865-022-00221-y"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doi.org/10.1111/jomf.13029"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rofiles.utdallas.edu/yjlee" TargetMode="External"/><Relationship Id="rId20" Type="http://schemas.openxmlformats.org/officeDocument/2006/relationships/hyperlink" Target="https://link.springer.com/article/10.1007/s40865-026-00298-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link.springer.com/article/10.1007/s40865-018-0102-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575893f-6266-403c-8794-47236f1576a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E7EE148FAE2AC4CBD31B2D462F9CF30" ma:contentTypeVersion="14" ma:contentTypeDescription="Create a new document." ma:contentTypeScope="" ma:versionID="32d02fd5b333fa434f34bde1bf2ec45a">
  <xsd:schema xmlns:xsd="http://www.w3.org/2001/XMLSchema" xmlns:xs="http://www.w3.org/2001/XMLSchema" xmlns:p="http://schemas.microsoft.com/office/2006/metadata/properties" xmlns:ns3="cb8608b1-2aa6-47f8-9902-9e175df42756" xmlns:ns4="a575893f-6266-403c-8794-47236f1576ac" targetNamespace="http://schemas.microsoft.com/office/2006/metadata/properties" ma:root="true" ma:fieldsID="4a2ba7284ca3bfc67ed51837d7809af4" ns3:_="" ns4:_="">
    <xsd:import namespace="cb8608b1-2aa6-47f8-9902-9e175df42756"/>
    <xsd:import namespace="a575893f-6266-403c-8794-47236f1576a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608b1-2aa6-47f8-9902-9e175df4275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75893f-6266-403c-8794-47236f1576a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75024-5DAF-4A82-9C17-26E216389366}">
  <ds:schemaRefs>
    <ds:schemaRef ds:uri="http://schemas.microsoft.com/sharepoint/v3/contenttype/forms"/>
  </ds:schemaRefs>
</ds:datastoreItem>
</file>

<file path=customXml/itemProps2.xml><?xml version="1.0" encoding="utf-8"?>
<ds:datastoreItem xmlns:ds="http://schemas.openxmlformats.org/officeDocument/2006/customXml" ds:itemID="{FAE893B8-9E55-4B04-A52C-51A2186C185B}">
  <ds:schemaRefs>
    <ds:schemaRef ds:uri="http://schemas.microsoft.com/office/2006/metadata/properties"/>
    <ds:schemaRef ds:uri="http://schemas.microsoft.com/office/infopath/2007/PartnerControls"/>
    <ds:schemaRef ds:uri="a575893f-6266-403c-8794-47236f1576ac"/>
  </ds:schemaRefs>
</ds:datastoreItem>
</file>

<file path=customXml/itemProps3.xml><?xml version="1.0" encoding="utf-8"?>
<ds:datastoreItem xmlns:ds="http://schemas.openxmlformats.org/officeDocument/2006/customXml" ds:itemID="{4BD4F423-8E7E-4827-9E68-235E3B60B7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608b1-2aa6-47f8-9902-9e175df42756"/>
    <ds:schemaRef ds:uri="a575893f-6266-403c-8794-47236f1576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85354B2-C830-4292-AA51-51D9250F1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4</Pages>
  <Words>2093</Words>
  <Characters>11932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Lanfear</dc:creator>
  <cp:keywords/>
  <dc:description/>
  <cp:lastModifiedBy>Charles Lanfear</cp:lastModifiedBy>
  <cp:revision>141</cp:revision>
  <dcterms:created xsi:type="dcterms:W3CDTF">2024-04-16T13:23:00Z</dcterms:created>
  <dcterms:modified xsi:type="dcterms:W3CDTF">2026-05-21T12:35:00Z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0x0101008E7EE148FAE2AC4CBD31B2D462F9CF30</vt:lpwstr>
  </property>
</Properties>
</file>