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84462" w14:paraId="06418807" w14:textId="77777777" w:rsidTr="00084462">
        <w:tc>
          <w:tcPr>
            <w:tcW w:w="4675" w:type="dxa"/>
          </w:tcPr>
          <w:p w14:paraId="719E258A" w14:textId="2EEF711D" w:rsidR="00084462" w:rsidRDefault="00084462" w:rsidP="00084462">
            <w:pPr>
              <w:rPr>
                <w:rFonts w:ascii="Garamond" w:hAnsi="Garamond"/>
              </w:rPr>
            </w:pPr>
            <w:r>
              <w:rPr>
                <w:noProof/>
                <w:lang w:val="en-GB" w:eastAsia="en-GB"/>
              </w:rPr>
              <w:drawing>
                <wp:inline distT="0" distB="0" distL="0" distR="0" wp14:anchorId="32D32FCA" wp14:editId="420A98CD">
                  <wp:extent cx="1719618" cy="51428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72989" cy="530249"/>
                          </a:xfrm>
                          <a:prstGeom prst="rect">
                            <a:avLst/>
                          </a:prstGeom>
                          <a:noFill/>
                        </pic:spPr>
                      </pic:pic>
                    </a:graphicData>
                  </a:graphic>
                </wp:inline>
              </w:drawing>
            </w:r>
          </w:p>
        </w:tc>
        <w:tc>
          <w:tcPr>
            <w:tcW w:w="4675" w:type="dxa"/>
          </w:tcPr>
          <w:p w14:paraId="12E814FE" w14:textId="0C86ED80" w:rsidR="00084462" w:rsidRPr="00084462" w:rsidRDefault="00084462" w:rsidP="00084462">
            <w:pPr>
              <w:jc w:val="right"/>
              <w:rPr>
                <w:rFonts w:ascii="Garamond" w:hAnsi="Garamond"/>
              </w:rPr>
            </w:pPr>
            <w:r w:rsidRPr="00084462">
              <w:rPr>
                <w:rFonts w:ascii="Garamond" w:hAnsi="Garamond"/>
              </w:rPr>
              <w:t>Charles C. Lanfear, PhD</w:t>
            </w:r>
          </w:p>
          <w:p w14:paraId="6C7A1C80" w14:textId="3B4DC8FB" w:rsidR="00084462" w:rsidRPr="00084462" w:rsidRDefault="00084462" w:rsidP="00084462">
            <w:pPr>
              <w:jc w:val="right"/>
              <w:rPr>
                <w:rFonts w:ascii="Garamond" w:hAnsi="Garamond"/>
              </w:rPr>
            </w:pPr>
            <w:r w:rsidRPr="00084462">
              <w:rPr>
                <w:rFonts w:ascii="Garamond" w:hAnsi="Garamond"/>
              </w:rPr>
              <w:t>Ass</w:t>
            </w:r>
            <w:r w:rsidR="007B77EE">
              <w:rPr>
                <w:rFonts w:ascii="Garamond" w:hAnsi="Garamond"/>
              </w:rPr>
              <w:t>ociate</w:t>
            </w:r>
            <w:r w:rsidRPr="00084462">
              <w:rPr>
                <w:rFonts w:ascii="Garamond" w:hAnsi="Garamond"/>
              </w:rPr>
              <w:t xml:space="preserve"> Professor</w:t>
            </w:r>
          </w:p>
          <w:p w14:paraId="1CADCB00" w14:textId="77777777" w:rsidR="00084462" w:rsidRDefault="00084462" w:rsidP="00084462">
            <w:pPr>
              <w:jc w:val="right"/>
              <w:rPr>
                <w:rFonts w:ascii="Garamond" w:hAnsi="Garamond"/>
              </w:rPr>
            </w:pPr>
            <w:r w:rsidRPr="00084462">
              <w:rPr>
                <w:rFonts w:ascii="Garamond" w:hAnsi="Garamond"/>
              </w:rPr>
              <w:t>Institute of Criminology</w:t>
            </w:r>
          </w:p>
          <w:p w14:paraId="5B13160B" w14:textId="1C1B9DA4" w:rsidR="00253C68" w:rsidRDefault="007B77EE" w:rsidP="00084462">
            <w:pPr>
              <w:jc w:val="right"/>
              <w:rPr>
                <w:rFonts w:ascii="Garamond" w:hAnsi="Garamond"/>
              </w:rPr>
            </w:pPr>
            <w:r>
              <w:rPr>
                <w:rFonts w:ascii="Garamond" w:hAnsi="Garamond"/>
              </w:rPr>
              <w:t>University of Cambridge</w:t>
            </w:r>
          </w:p>
        </w:tc>
      </w:tr>
    </w:tbl>
    <w:p w14:paraId="66EFC9E1" w14:textId="77777777" w:rsidR="00141C5F" w:rsidRDefault="00141C5F" w:rsidP="00E41DAA">
      <w:pPr>
        <w:spacing w:after="0" w:line="240" w:lineRule="auto"/>
        <w:rPr>
          <w:rFonts w:ascii="Garamond" w:hAnsi="Garamond"/>
        </w:rPr>
      </w:pPr>
    </w:p>
    <w:p w14:paraId="11161143" w14:textId="77777777" w:rsidR="00FE445F" w:rsidRDefault="00FE445F" w:rsidP="00237870">
      <w:pPr>
        <w:spacing w:after="120" w:line="240" w:lineRule="auto"/>
        <w:rPr>
          <w:rFonts w:ascii="Garamond" w:hAnsi="Garamond"/>
        </w:rPr>
      </w:pPr>
    </w:p>
    <w:p w14:paraId="72B454D8" w14:textId="0C117770" w:rsidR="00237870" w:rsidRDefault="007A2ED2" w:rsidP="00237870">
      <w:pPr>
        <w:spacing w:after="120" w:line="240" w:lineRule="auto"/>
        <w:rPr>
          <w:rFonts w:ascii="Garamond" w:hAnsi="Garamond"/>
        </w:rPr>
      </w:pPr>
      <w:r>
        <w:rPr>
          <w:rFonts w:ascii="Garamond" w:hAnsi="Garamond"/>
        </w:rPr>
        <w:t>1</w:t>
      </w:r>
      <w:r w:rsidR="003461D5">
        <w:rPr>
          <w:rFonts w:ascii="Garamond" w:hAnsi="Garamond"/>
        </w:rPr>
        <w:t xml:space="preserve"> </w:t>
      </w:r>
      <w:r w:rsidR="007B77EE">
        <w:rPr>
          <w:rFonts w:ascii="Garamond" w:hAnsi="Garamond"/>
        </w:rPr>
        <w:t>March</w:t>
      </w:r>
      <w:r w:rsidR="00E41DAA">
        <w:rPr>
          <w:rFonts w:ascii="Garamond" w:hAnsi="Garamond"/>
        </w:rPr>
        <w:t xml:space="preserve"> 202</w:t>
      </w:r>
      <w:r w:rsidR="007B77EE">
        <w:rPr>
          <w:rFonts w:ascii="Garamond" w:hAnsi="Garamond"/>
        </w:rPr>
        <w:t>6</w:t>
      </w:r>
    </w:p>
    <w:p w14:paraId="58783574" w14:textId="77777777" w:rsidR="00FE445F" w:rsidRDefault="00FE445F" w:rsidP="00237870">
      <w:pPr>
        <w:spacing w:after="120" w:line="240" w:lineRule="auto"/>
        <w:rPr>
          <w:rFonts w:ascii="Garamond" w:hAnsi="Garamond"/>
        </w:rPr>
      </w:pPr>
    </w:p>
    <w:p w14:paraId="51E1937E" w14:textId="58DE0525" w:rsidR="00240CDF" w:rsidRDefault="00084462" w:rsidP="00237870">
      <w:pPr>
        <w:spacing w:after="120" w:line="240" w:lineRule="auto"/>
        <w:rPr>
          <w:rFonts w:ascii="Garamond" w:hAnsi="Garamond"/>
        </w:rPr>
      </w:pPr>
      <w:r w:rsidRPr="00084462">
        <w:rPr>
          <w:rFonts w:ascii="Garamond" w:hAnsi="Garamond"/>
        </w:rPr>
        <w:t xml:space="preserve">Dear </w:t>
      </w:r>
      <w:r w:rsidR="008A2E9C">
        <w:rPr>
          <w:rFonts w:ascii="Garamond" w:hAnsi="Garamond"/>
        </w:rPr>
        <w:t>Editors</w:t>
      </w:r>
      <w:r w:rsidRPr="00084462">
        <w:rPr>
          <w:rFonts w:ascii="Garamond" w:hAnsi="Garamond"/>
        </w:rPr>
        <w:t>,</w:t>
      </w:r>
    </w:p>
    <w:p w14:paraId="0E8E56CB" w14:textId="77777777" w:rsidR="007B77EE" w:rsidRDefault="007B77EE" w:rsidP="00237870">
      <w:pPr>
        <w:spacing w:after="120" w:line="240" w:lineRule="auto"/>
        <w:rPr>
          <w:rFonts w:ascii="Garamond" w:hAnsi="Garamond"/>
        </w:rPr>
      </w:pPr>
    </w:p>
    <w:p w14:paraId="6DC754D9" w14:textId="77777777" w:rsidR="009A1D17" w:rsidRDefault="009A1D17" w:rsidP="00CE0279">
      <w:pPr>
        <w:spacing w:after="120" w:line="240" w:lineRule="auto"/>
        <w:rPr>
          <w:rFonts w:ascii="Garamond" w:hAnsi="Garamond"/>
        </w:rPr>
      </w:pPr>
    </w:p>
    <w:p w14:paraId="0EC13810" w14:textId="4CBD3978" w:rsidR="007B77EE" w:rsidRDefault="007B77EE" w:rsidP="00CE0279">
      <w:pPr>
        <w:spacing w:after="120" w:line="240" w:lineRule="auto"/>
        <w:rPr>
          <w:rFonts w:ascii="Garamond" w:hAnsi="Garamond"/>
        </w:rPr>
      </w:pPr>
      <w:r w:rsidRPr="007B77EE">
        <w:rPr>
          <w:rFonts w:ascii="Garamond" w:hAnsi="Garamond"/>
        </w:rPr>
        <w:t xml:space="preserve">Thiago Oliveira and I are pleased to submit </w:t>
      </w:r>
      <w:r w:rsidR="002B1A61">
        <w:rPr>
          <w:rFonts w:ascii="Garamond" w:hAnsi="Garamond"/>
        </w:rPr>
        <w:t>this</w:t>
      </w:r>
      <w:r w:rsidR="009A1D17">
        <w:rPr>
          <w:rFonts w:ascii="Garamond" w:hAnsi="Garamond"/>
        </w:rPr>
        <w:t xml:space="preserve"> revision of </w:t>
      </w:r>
      <w:r w:rsidR="008C696F">
        <w:rPr>
          <w:rFonts w:ascii="Garamond" w:hAnsi="Garamond"/>
        </w:rPr>
        <w:t>our paper on the use of cross-lagged panel models</w:t>
      </w:r>
      <w:r w:rsidR="00655AAC">
        <w:rPr>
          <w:rFonts w:ascii="Garamond" w:hAnsi="Garamond"/>
        </w:rPr>
        <w:t xml:space="preserve"> in life course and development research and criminology more generally</w:t>
      </w:r>
      <w:r w:rsidR="008C696F">
        <w:rPr>
          <w:rFonts w:ascii="Garamond" w:hAnsi="Garamond"/>
        </w:rPr>
        <w:t xml:space="preserve">. We were </w:t>
      </w:r>
      <w:r w:rsidR="004910F3">
        <w:rPr>
          <w:rFonts w:ascii="Garamond" w:hAnsi="Garamond"/>
        </w:rPr>
        <w:t>pleased</w:t>
      </w:r>
      <w:r w:rsidR="008C696F">
        <w:rPr>
          <w:rFonts w:ascii="Garamond" w:hAnsi="Garamond"/>
        </w:rPr>
        <w:t xml:space="preserve"> with the positive reception</w:t>
      </w:r>
      <w:r w:rsidR="008D1C0A">
        <w:rPr>
          <w:rFonts w:ascii="Garamond" w:hAnsi="Garamond"/>
        </w:rPr>
        <w:t xml:space="preserve"> and </w:t>
      </w:r>
      <w:r w:rsidR="00611789">
        <w:rPr>
          <w:rFonts w:ascii="Garamond" w:hAnsi="Garamond"/>
        </w:rPr>
        <w:t>engaging feedback</w:t>
      </w:r>
      <w:r w:rsidR="008C696F">
        <w:rPr>
          <w:rFonts w:ascii="Garamond" w:hAnsi="Garamond"/>
        </w:rPr>
        <w:t>.</w:t>
      </w:r>
      <w:r w:rsidR="00FA0931">
        <w:rPr>
          <w:rFonts w:ascii="Garamond" w:hAnsi="Garamond"/>
        </w:rPr>
        <w:t xml:space="preserve"> </w:t>
      </w:r>
      <w:r w:rsidR="00611789">
        <w:rPr>
          <w:rFonts w:ascii="Garamond" w:hAnsi="Garamond"/>
        </w:rPr>
        <w:t>Below we</w:t>
      </w:r>
      <w:r w:rsidR="00FA0931">
        <w:rPr>
          <w:rFonts w:ascii="Garamond" w:hAnsi="Garamond"/>
        </w:rPr>
        <w:t xml:space="preserve"> provide point-by-point responses </w:t>
      </w:r>
      <w:r w:rsidR="00611789">
        <w:rPr>
          <w:rFonts w:ascii="Garamond" w:hAnsi="Garamond"/>
        </w:rPr>
        <w:t>for</w:t>
      </w:r>
      <w:r w:rsidR="00FA0931">
        <w:rPr>
          <w:rFonts w:ascii="Garamond" w:hAnsi="Garamond"/>
        </w:rPr>
        <w:t xml:space="preserve"> each paragraph of </w:t>
      </w:r>
      <w:r w:rsidR="00D90A81">
        <w:rPr>
          <w:rFonts w:ascii="Garamond" w:hAnsi="Garamond"/>
        </w:rPr>
        <w:t xml:space="preserve">Reviewer 1’s </w:t>
      </w:r>
      <w:r w:rsidR="004A13F4">
        <w:rPr>
          <w:rFonts w:ascii="Garamond" w:hAnsi="Garamond"/>
        </w:rPr>
        <w:t>thoughtful comments</w:t>
      </w:r>
      <w:r w:rsidR="00D90A81">
        <w:rPr>
          <w:rFonts w:ascii="Garamond" w:hAnsi="Garamond"/>
        </w:rPr>
        <w:t>.</w:t>
      </w:r>
    </w:p>
    <w:p w14:paraId="1C13F44C" w14:textId="77777777" w:rsidR="009A1D17" w:rsidRDefault="009A1D17" w:rsidP="00CE0279">
      <w:pPr>
        <w:spacing w:after="120" w:line="240" w:lineRule="auto"/>
        <w:rPr>
          <w:rFonts w:ascii="Garamond" w:hAnsi="Garamond"/>
        </w:rPr>
      </w:pPr>
    </w:p>
    <w:p w14:paraId="2CF516DF" w14:textId="08CD6E23" w:rsidR="00AC56F2" w:rsidRPr="009E0E15" w:rsidRDefault="00AC56F2" w:rsidP="00AC56F2">
      <w:pPr>
        <w:spacing w:after="120" w:line="240" w:lineRule="auto"/>
        <w:ind w:left="720"/>
        <w:rPr>
          <w:rFonts w:ascii="Garamond" w:hAnsi="Garamond"/>
          <w:i/>
          <w:iCs/>
        </w:rPr>
      </w:pPr>
      <w:r w:rsidRPr="009E0E15">
        <w:rPr>
          <w:rFonts w:ascii="Garamond" w:hAnsi="Garamond"/>
          <w:i/>
          <w:iCs/>
        </w:rPr>
        <w:t>The paper overall provides a nice discussion of key issues when considering applying CLPMs to understand reciprocal relationships in criminological research. The paper focuses on two ‘case studies’ – questions relating to employment and fear of crime, which helps ground the technical side of the paper in real empirical research. There are some areas that this could be strengthened so that the paper does not get too technical for readers. My comments highlight some of these places where this can be done, as well as some additional comments to consider regarding the role of time.</w:t>
      </w:r>
    </w:p>
    <w:p w14:paraId="794EF836" w14:textId="6FB2FA55" w:rsidR="00AC56F2" w:rsidRDefault="00393104" w:rsidP="00AC56F2">
      <w:pPr>
        <w:spacing w:after="120" w:line="240" w:lineRule="auto"/>
        <w:rPr>
          <w:rFonts w:ascii="Garamond" w:hAnsi="Garamond"/>
        </w:rPr>
      </w:pPr>
      <w:r>
        <w:rPr>
          <w:rFonts w:ascii="Garamond" w:hAnsi="Garamond"/>
        </w:rPr>
        <w:t>Yes, we appreciate the suggestion to avoid getting overly technical;</w:t>
      </w:r>
      <w:r w:rsidR="00DC5617">
        <w:rPr>
          <w:rFonts w:ascii="Garamond" w:hAnsi="Garamond"/>
        </w:rPr>
        <w:t xml:space="preserve"> </w:t>
      </w:r>
      <w:r w:rsidR="00FF626E">
        <w:rPr>
          <w:rFonts w:ascii="Garamond" w:hAnsi="Garamond"/>
        </w:rPr>
        <w:t xml:space="preserve">we have a tendency to let </w:t>
      </w:r>
      <w:r w:rsidR="00DC5617">
        <w:rPr>
          <w:rFonts w:ascii="Garamond" w:hAnsi="Garamond"/>
        </w:rPr>
        <w:t>our excitement over technical details</w:t>
      </w:r>
      <w:r w:rsidR="00FF626E">
        <w:rPr>
          <w:rFonts w:ascii="Garamond" w:hAnsi="Garamond"/>
        </w:rPr>
        <w:t xml:space="preserve"> spill out.</w:t>
      </w:r>
    </w:p>
    <w:p w14:paraId="403A2F25" w14:textId="77777777" w:rsidR="00AC56F2" w:rsidRPr="00AC56F2" w:rsidRDefault="00AC56F2" w:rsidP="00AC56F2">
      <w:pPr>
        <w:spacing w:after="120" w:line="240" w:lineRule="auto"/>
        <w:rPr>
          <w:rFonts w:ascii="Garamond" w:hAnsi="Garamond"/>
        </w:rPr>
      </w:pPr>
    </w:p>
    <w:p w14:paraId="517B2A9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First, the two use cases are focused on different kinds of reciprocal relationships, which I agree is an important issue. I do think that the theoretical and empirical underpinnings of these reciprocal relationships could be elaborated on more for the reader. For example, what does existing research show regarding the effect of criminal behavior on job loss? Does not accounting for this affect the estimates in empirical work? In relation to disorder, what is the evidence for each direction and how have studies examined this reciprocal relationship in previous work (including CLPMs but perhaps also beyond). There is quite a growing area of research on momentary measures of fear of crime (e.g., Solymosi, Kronkvist, Chataway, etc.) that may help further elaborate on the temporal, reciprocal processes. Incorporating existing empirical work for both use cases can help the reader contextualise and situate the problem in ongoing work, and help understand how these main issues can affect our interpretation of the evidence.</w:t>
      </w:r>
    </w:p>
    <w:p w14:paraId="7D1D20C4" w14:textId="1A8E0848" w:rsidR="00AC56F2" w:rsidRDefault="008D3A0B" w:rsidP="00AC56F2">
      <w:pPr>
        <w:spacing w:after="120" w:line="240" w:lineRule="auto"/>
        <w:rPr>
          <w:rFonts w:ascii="Garamond" w:hAnsi="Garamond"/>
        </w:rPr>
      </w:pPr>
      <w:r>
        <w:rPr>
          <w:rFonts w:ascii="Garamond" w:hAnsi="Garamond"/>
        </w:rPr>
        <w:t>TO DO:</w:t>
      </w:r>
      <w:r w:rsidR="00F61F0C">
        <w:rPr>
          <w:rFonts w:ascii="Garamond" w:hAnsi="Garamond"/>
        </w:rPr>
        <w:t xml:space="preserve"> </w:t>
      </w:r>
      <w:r w:rsidR="00F61F0C" w:rsidRPr="003D68F4">
        <w:rPr>
          <w:rFonts w:ascii="Garamond" w:hAnsi="Garamond"/>
          <w:b/>
          <w:bCs/>
        </w:rPr>
        <w:t>CCL</w:t>
      </w:r>
    </w:p>
    <w:p w14:paraId="31F02F17" w14:textId="7D94CB26" w:rsidR="0076191C" w:rsidRDefault="000C6964" w:rsidP="008D3A0B">
      <w:pPr>
        <w:pStyle w:val="ListParagraph"/>
        <w:numPr>
          <w:ilvl w:val="0"/>
          <w:numId w:val="8"/>
        </w:numPr>
        <w:spacing w:after="120" w:line="240" w:lineRule="auto"/>
        <w:rPr>
          <w:rFonts w:ascii="Garamond" w:hAnsi="Garamond"/>
        </w:rPr>
      </w:pPr>
      <w:r>
        <w:rPr>
          <w:rFonts w:ascii="Garamond" w:hAnsi="Garamond"/>
        </w:rPr>
        <w:t xml:space="preserve">CCL: </w:t>
      </w:r>
      <w:r w:rsidR="0076191C">
        <w:rPr>
          <w:rFonts w:ascii="Garamond" w:hAnsi="Garamond"/>
        </w:rPr>
        <w:t xml:space="preserve">I am a bit resistant to spending too much time discussing </w:t>
      </w:r>
      <w:r w:rsidR="00E16797">
        <w:rPr>
          <w:rFonts w:ascii="Garamond" w:hAnsi="Garamond"/>
        </w:rPr>
        <w:t>empirical</w:t>
      </w:r>
      <w:r w:rsidR="0076191C">
        <w:rPr>
          <w:rFonts w:ascii="Garamond" w:hAnsi="Garamond"/>
        </w:rPr>
        <w:t xml:space="preserve"> literature</w:t>
      </w:r>
      <w:r w:rsidR="00E16797">
        <w:rPr>
          <w:rFonts w:ascii="Garamond" w:hAnsi="Garamond"/>
        </w:rPr>
        <w:t xml:space="preserve"> on these topics</w:t>
      </w:r>
      <w:r w:rsidR="0076191C">
        <w:rPr>
          <w:rFonts w:ascii="Garamond" w:hAnsi="Garamond"/>
        </w:rPr>
        <w:t>; we’re using these examples to contextualize methods no</w:t>
      </w:r>
      <w:r w:rsidR="00951553">
        <w:rPr>
          <w:rFonts w:ascii="Garamond" w:hAnsi="Garamond"/>
        </w:rPr>
        <w:t>t focus on methodological problems in these specific literatures.</w:t>
      </w:r>
      <w:r w:rsidR="00EB096A">
        <w:rPr>
          <w:rFonts w:ascii="Garamond" w:hAnsi="Garamond"/>
        </w:rPr>
        <w:t xml:space="preserve"> </w:t>
      </w:r>
      <w:r w:rsidR="00D7717F">
        <w:rPr>
          <w:rFonts w:ascii="Garamond" w:hAnsi="Garamond"/>
        </w:rPr>
        <w:t>We</w:t>
      </w:r>
      <w:r w:rsidR="00E6359A">
        <w:rPr>
          <w:rFonts w:ascii="Garamond" w:hAnsi="Garamond"/>
        </w:rPr>
        <w:t xml:space="preserve"> are not even trying to motivate readers to </w:t>
      </w:r>
      <w:r w:rsidR="00D7717F">
        <w:rPr>
          <w:rFonts w:ascii="Garamond" w:hAnsi="Garamond"/>
        </w:rPr>
        <w:t xml:space="preserve">be </w:t>
      </w:r>
      <w:r w:rsidR="00E6359A">
        <w:rPr>
          <w:rFonts w:ascii="Garamond" w:hAnsi="Garamond"/>
        </w:rPr>
        <w:t xml:space="preserve">concerned with reciprocality. We’re targeting people </w:t>
      </w:r>
      <w:r w:rsidR="00CC7ED4">
        <w:rPr>
          <w:rFonts w:ascii="Garamond" w:hAnsi="Garamond"/>
        </w:rPr>
        <w:t xml:space="preserve">already worried about or </w:t>
      </w:r>
      <w:r w:rsidR="00E6359A">
        <w:rPr>
          <w:rFonts w:ascii="Garamond" w:hAnsi="Garamond"/>
        </w:rPr>
        <w:t xml:space="preserve">interested in reciprocality </w:t>
      </w:r>
      <w:r w:rsidR="003A49B9">
        <w:rPr>
          <w:rFonts w:ascii="Garamond" w:hAnsi="Garamond"/>
        </w:rPr>
        <w:t>and who want to d</w:t>
      </w:r>
      <w:r w:rsidR="00A803C2">
        <w:rPr>
          <w:rFonts w:ascii="Garamond" w:hAnsi="Garamond"/>
        </w:rPr>
        <w:t>eal with</w:t>
      </w:r>
      <w:r w:rsidR="003A49B9">
        <w:rPr>
          <w:rFonts w:ascii="Garamond" w:hAnsi="Garamond"/>
        </w:rPr>
        <w:t xml:space="preserve"> it correctly. </w:t>
      </w:r>
    </w:p>
    <w:p w14:paraId="18C06366" w14:textId="4FCE21B6" w:rsidR="008D3A0B" w:rsidRDefault="005A285D" w:rsidP="008D3A0B">
      <w:pPr>
        <w:pStyle w:val="ListParagraph"/>
        <w:numPr>
          <w:ilvl w:val="0"/>
          <w:numId w:val="8"/>
        </w:numPr>
        <w:spacing w:after="120" w:line="240" w:lineRule="auto"/>
        <w:rPr>
          <w:rFonts w:ascii="Garamond" w:hAnsi="Garamond"/>
        </w:rPr>
      </w:pPr>
      <w:r>
        <w:rPr>
          <w:rFonts w:ascii="Garamond" w:hAnsi="Garamond"/>
        </w:rPr>
        <w:t>Expand lit on c</w:t>
      </w:r>
      <w:r w:rsidR="00491BA7">
        <w:rPr>
          <w:rFonts w:ascii="Garamond" w:hAnsi="Garamond"/>
        </w:rPr>
        <w:t>rime and work: job loss; effects of ignoring reciprocality</w:t>
      </w:r>
    </w:p>
    <w:p w14:paraId="34F61F6B" w14:textId="272C2DDA" w:rsidR="00A3213F" w:rsidRDefault="00BB3997" w:rsidP="00A3213F">
      <w:pPr>
        <w:pStyle w:val="ListParagraph"/>
        <w:numPr>
          <w:ilvl w:val="1"/>
          <w:numId w:val="8"/>
        </w:numPr>
        <w:spacing w:after="120" w:line="240" w:lineRule="auto"/>
        <w:rPr>
          <w:rFonts w:ascii="Garamond" w:hAnsi="Garamond"/>
        </w:rPr>
      </w:pPr>
      <w:commentRangeStart w:id="0"/>
      <w:r>
        <w:rPr>
          <w:rFonts w:ascii="Garamond" w:hAnsi="Garamond"/>
        </w:rPr>
        <w:t>CCL</w:t>
      </w:r>
      <w:r w:rsidR="00A3213F">
        <w:rPr>
          <w:rFonts w:ascii="Garamond" w:hAnsi="Garamond"/>
        </w:rPr>
        <w:t xml:space="preserve">: </w:t>
      </w:r>
      <w:commentRangeEnd w:id="0"/>
      <w:r w:rsidR="0046763E">
        <w:rPr>
          <w:rStyle w:val="CommentReference"/>
          <w:rFonts w:ascii="Garamond" w:hAnsi="Garamond"/>
          <w:sz w:val="22"/>
          <w:szCs w:val="22"/>
        </w:rPr>
        <w:commentReference w:id="0"/>
      </w:r>
      <w:r w:rsidR="00A3213F">
        <w:rPr>
          <w:rFonts w:ascii="Garamond" w:hAnsi="Garamond"/>
        </w:rPr>
        <w:t xml:space="preserve">Consider </w:t>
      </w:r>
      <w:r w:rsidR="005205BC">
        <w:rPr>
          <w:rFonts w:ascii="Garamond" w:hAnsi="Garamond"/>
        </w:rPr>
        <w:t xml:space="preserve">ways people tried to get around reciprocality other than CLPMs, e.g., </w:t>
      </w:r>
      <w:r w:rsidR="00A3213F">
        <w:rPr>
          <w:rFonts w:ascii="Garamond" w:hAnsi="Garamond"/>
        </w:rPr>
        <w:t>classic experimental work on work and offending</w:t>
      </w:r>
      <w:r w:rsidR="005205BC">
        <w:rPr>
          <w:rFonts w:ascii="Garamond" w:hAnsi="Garamond"/>
        </w:rPr>
        <w:t xml:space="preserve"> like</w:t>
      </w:r>
      <w:r w:rsidR="00A3213F">
        <w:rPr>
          <w:rFonts w:ascii="Garamond" w:hAnsi="Garamond"/>
        </w:rPr>
        <w:t xml:space="preserve"> </w:t>
      </w:r>
      <w:r w:rsidR="00F335D8">
        <w:rPr>
          <w:rFonts w:ascii="Garamond" w:hAnsi="Garamond"/>
        </w:rPr>
        <w:t xml:space="preserve">Rossi et al.’s </w:t>
      </w:r>
      <w:r w:rsidR="00A3213F">
        <w:rPr>
          <w:rFonts w:ascii="Garamond" w:hAnsi="Garamond"/>
        </w:rPr>
        <w:t>TARP</w:t>
      </w:r>
      <w:r w:rsidR="00F335D8">
        <w:rPr>
          <w:rFonts w:ascii="Garamond" w:hAnsi="Garamond"/>
        </w:rPr>
        <w:t xml:space="preserve"> in the 1970s</w:t>
      </w:r>
      <w:r w:rsidR="00A3213F">
        <w:rPr>
          <w:rFonts w:ascii="Garamond" w:hAnsi="Garamond"/>
        </w:rPr>
        <w:t>.</w:t>
      </w:r>
      <w:r w:rsidR="005205BC">
        <w:rPr>
          <w:rFonts w:ascii="Garamond" w:hAnsi="Garamond"/>
        </w:rPr>
        <w:t xml:space="preserve"> Also IV work?</w:t>
      </w:r>
      <w:r w:rsidR="00EB72EF">
        <w:rPr>
          <w:rFonts w:ascii="Garamond" w:hAnsi="Garamond"/>
        </w:rPr>
        <w:t xml:space="preserve"> IV work will prob show effects of ignoring reciprocality.</w:t>
      </w:r>
    </w:p>
    <w:p w14:paraId="5A9FD102" w14:textId="288E9AA8" w:rsidR="00EC351B" w:rsidRDefault="005A285D" w:rsidP="008D3A0B">
      <w:pPr>
        <w:pStyle w:val="ListParagraph"/>
        <w:numPr>
          <w:ilvl w:val="0"/>
          <w:numId w:val="8"/>
        </w:numPr>
        <w:spacing w:after="120" w:line="240" w:lineRule="auto"/>
        <w:rPr>
          <w:rFonts w:ascii="Garamond" w:hAnsi="Garamond"/>
        </w:rPr>
      </w:pPr>
      <w:r>
        <w:rPr>
          <w:rFonts w:ascii="Garamond" w:hAnsi="Garamond"/>
        </w:rPr>
        <w:t>Expand lit on d</w:t>
      </w:r>
      <w:r w:rsidR="00EC351B">
        <w:rPr>
          <w:rFonts w:ascii="Garamond" w:hAnsi="Garamond"/>
        </w:rPr>
        <w:t>isorder and fear: Past work with or without CLPMs; momentary measures.</w:t>
      </w:r>
    </w:p>
    <w:p w14:paraId="469CC609" w14:textId="4556BD61" w:rsidR="00584DE1" w:rsidRDefault="00584DE1" w:rsidP="00584DE1">
      <w:pPr>
        <w:pStyle w:val="ListParagraph"/>
        <w:numPr>
          <w:ilvl w:val="1"/>
          <w:numId w:val="8"/>
        </w:numPr>
        <w:spacing w:after="120" w:line="240" w:lineRule="auto"/>
        <w:rPr>
          <w:rFonts w:ascii="Garamond" w:hAnsi="Garamond"/>
        </w:rPr>
      </w:pPr>
      <w:r>
        <w:rPr>
          <w:rFonts w:ascii="Garamond" w:hAnsi="Garamond"/>
        </w:rPr>
        <w:t>CCL: Lots here I am familiar with including what we cite in paper but can elaborate on.</w:t>
      </w:r>
      <w:r w:rsidR="008268F3">
        <w:rPr>
          <w:rFonts w:ascii="Garamond" w:hAnsi="Garamond"/>
        </w:rPr>
        <w:t xml:space="preserve"> Can perhaps </w:t>
      </w:r>
      <w:r w:rsidR="00BB3997">
        <w:rPr>
          <w:rFonts w:ascii="Garamond" w:hAnsi="Garamond"/>
        </w:rPr>
        <w:t xml:space="preserve">gently </w:t>
      </w:r>
      <w:r w:rsidR="008268F3">
        <w:rPr>
          <w:rFonts w:ascii="Garamond" w:hAnsi="Garamond"/>
        </w:rPr>
        <w:t>critique the disorder / fear annual review as not considering reciprocality.</w:t>
      </w:r>
      <w:r>
        <w:rPr>
          <w:rFonts w:ascii="Garamond" w:hAnsi="Garamond"/>
        </w:rPr>
        <w:t xml:space="preserve"> </w:t>
      </w:r>
    </w:p>
    <w:p w14:paraId="54DC503D" w14:textId="1F40DC08" w:rsidR="00A9289C" w:rsidRPr="008D3A0B" w:rsidRDefault="00A9289C" w:rsidP="00584DE1">
      <w:pPr>
        <w:pStyle w:val="ListParagraph"/>
        <w:numPr>
          <w:ilvl w:val="1"/>
          <w:numId w:val="8"/>
        </w:numPr>
        <w:spacing w:after="120" w:line="240" w:lineRule="auto"/>
        <w:rPr>
          <w:rFonts w:ascii="Garamond" w:hAnsi="Garamond"/>
        </w:rPr>
      </w:pPr>
      <w:r>
        <w:rPr>
          <w:rFonts w:ascii="Garamond" w:hAnsi="Garamond"/>
        </w:rPr>
        <w:t>I was not sure what Solymosi paper they’re referring to but I did see some potentially relevant stuff from Kronkvist</w:t>
      </w:r>
      <w:r w:rsidR="00576D44">
        <w:rPr>
          <w:rFonts w:ascii="Garamond" w:hAnsi="Garamond"/>
        </w:rPr>
        <w:t>.</w:t>
      </w:r>
    </w:p>
    <w:p w14:paraId="1F76B036" w14:textId="77777777" w:rsidR="00AC56F2" w:rsidRPr="00AC56F2" w:rsidRDefault="00AC56F2" w:rsidP="00AC56F2">
      <w:pPr>
        <w:spacing w:after="120" w:line="240" w:lineRule="auto"/>
        <w:rPr>
          <w:rFonts w:ascii="Garamond" w:hAnsi="Garamond"/>
        </w:rPr>
      </w:pPr>
    </w:p>
    <w:p w14:paraId="617EF77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lastRenderedPageBreak/>
        <w:t>The authors discuss the reciprocal relationship between employment and crime, but I think this requires a bit more elaboration and perhaps some consideration of the underlying theoretical process. First, they state that the reciprocal relationship (crime-&gt;employment) is not usually of substantive interest (pg 9), but in my reading I am not sure that is a correct assumption. In the desistance process, which can usually be messy and intermittent, the influence of crime on employment reflects a substantive part of the process. Engagement in crime, or even intentions or openness to crime can disrupt the embeddedness and building of social capital, controls, and commitment to conventional society/workplace. The authors should perhaps reflect on whether (theoretically) this is merely something to be accounted for in the model. More connection with desistance research can perhaps help here.</w:t>
      </w:r>
    </w:p>
    <w:p w14:paraId="0F03C83B" w14:textId="2F1FAFB3" w:rsidR="0026639C" w:rsidRPr="0082689B" w:rsidRDefault="008B1601" w:rsidP="0082689B">
      <w:pPr>
        <w:spacing w:after="120" w:line="240" w:lineRule="auto"/>
        <w:rPr>
          <w:rFonts w:ascii="Garamond" w:hAnsi="Garamond"/>
        </w:rPr>
      </w:pPr>
      <w:r>
        <w:rPr>
          <w:rFonts w:ascii="Garamond" w:hAnsi="Garamond"/>
        </w:rPr>
        <w:t>We agree that it is inaccurate to state that theoretical reciprocality is not of substantive interest to most criminologists; we have edited this</w:t>
      </w:r>
      <w:r w:rsidR="0082689B">
        <w:rPr>
          <w:rFonts w:ascii="Garamond" w:hAnsi="Garamond"/>
        </w:rPr>
        <w:t xml:space="preserve"> section</w:t>
      </w:r>
      <w:r>
        <w:rPr>
          <w:rFonts w:ascii="Garamond" w:hAnsi="Garamond"/>
        </w:rPr>
        <w:t xml:space="preserve"> to emphasize that, like estimands, </w:t>
      </w:r>
      <w:r w:rsidR="009F2BC5">
        <w:rPr>
          <w:rFonts w:ascii="Garamond" w:hAnsi="Garamond"/>
        </w:rPr>
        <w:t>viewing any given reciprocality as reverse causality or theoretical reciprocality is a choice linked to theory and research questions.</w:t>
      </w:r>
    </w:p>
    <w:p w14:paraId="128DE4FE"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addition, I wondered if the temporal processes connecting employment-&gt;crime and crime-&gt;employment are equivalent such that one could examine them in a CLPM. A CLPM fundamentally assumes that the temporal order, timing, and process of change is the same for both directional processes (or at least can be captured in the same modelling strategy and time interval). While the employment-&gt;crime process is described as gradual and slow-moving, I’m not sure the crime-&gt;employment process can be described in the same way, as job loss is a discrete event (although the measure stated is proportion of time employed). This could be clarified by being a bit more explicit about the underlying processes and assumptions, for example by connecting to theoretical and empirical work (as mentioned in the comment above).</w:t>
      </w:r>
    </w:p>
    <w:p w14:paraId="6896AD07" w14:textId="7B4A5167" w:rsidR="00AC56F2" w:rsidRPr="003D68F4" w:rsidRDefault="00041985" w:rsidP="00AC56F2">
      <w:pPr>
        <w:spacing w:after="120" w:line="240" w:lineRule="auto"/>
        <w:rPr>
          <w:rFonts w:ascii="Garamond" w:hAnsi="Garamond"/>
          <w:b/>
          <w:bCs/>
        </w:rPr>
      </w:pPr>
      <w:r>
        <w:rPr>
          <w:rFonts w:ascii="Garamond" w:hAnsi="Garamond"/>
        </w:rPr>
        <w:t>TO DO:</w:t>
      </w:r>
      <w:r w:rsidR="003D68F4">
        <w:rPr>
          <w:rFonts w:ascii="Garamond" w:hAnsi="Garamond"/>
        </w:rPr>
        <w:t xml:space="preserve"> </w:t>
      </w:r>
      <w:r w:rsidR="003D68F4">
        <w:rPr>
          <w:rFonts w:ascii="Garamond" w:hAnsi="Garamond"/>
          <w:b/>
          <w:bCs/>
        </w:rPr>
        <w:t>CCL</w:t>
      </w:r>
      <w:r w:rsidR="00520B45">
        <w:rPr>
          <w:rFonts w:ascii="Garamond" w:hAnsi="Garamond"/>
          <w:b/>
          <w:bCs/>
        </w:rPr>
        <w:t xml:space="preserve"> take a stab</w:t>
      </w:r>
    </w:p>
    <w:p w14:paraId="5CF509F0" w14:textId="00A9FE25" w:rsidR="00466718" w:rsidRDefault="00FD24C8" w:rsidP="00041985">
      <w:pPr>
        <w:pStyle w:val="ListParagraph"/>
        <w:numPr>
          <w:ilvl w:val="0"/>
          <w:numId w:val="8"/>
        </w:numPr>
        <w:spacing w:after="120" w:line="240" w:lineRule="auto"/>
        <w:rPr>
          <w:rFonts w:ascii="Garamond" w:hAnsi="Garamond"/>
        </w:rPr>
      </w:pPr>
      <w:r>
        <w:rPr>
          <w:rFonts w:ascii="Garamond" w:hAnsi="Garamond"/>
        </w:rPr>
        <w:t xml:space="preserve">The substantive examples here are meant to serve as illustrations for the methodological considerations rather than as a focus of the paper. As a result, we have instead broadened the </w:t>
      </w:r>
      <w:r w:rsidR="00BF704B">
        <w:rPr>
          <w:rFonts w:ascii="Garamond" w:hAnsi="Garamond"/>
        </w:rPr>
        <w:t>discussion of</w:t>
      </w:r>
      <w:r>
        <w:rPr>
          <w:rFonts w:ascii="Garamond" w:hAnsi="Garamond"/>
        </w:rPr>
        <w:t xml:space="preserve"> crime -&gt; employment effects to </w:t>
      </w:r>
      <w:r w:rsidR="00BB073A">
        <w:rPr>
          <w:rFonts w:ascii="Garamond" w:hAnsi="Garamond"/>
        </w:rPr>
        <w:t xml:space="preserve">include </w:t>
      </w:r>
      <w:r w:rsidR="00BA0F84">
        <w:rPr>
          <w:rFonts w:ascii="Garamond" w:hAnsi="Garamond"/>
        </w:rPr>
        <w:t>substitution</w:t>
      </w:r>
      <w:r w:rsidR="00BE4EFA">
        <w:rPr>
          <w:rFonts w:ascii="Garamond" w:hAnsi="Garamond"/>
        </w:rPr>
        <w:t xml:space="preserve">, human capital, and job acquisition to </w:t>
      </w:r>
      <w:r w:rsidR="002369EB">
        <w:rPr>
          <w:rFonts w:ascii="Garamond" w:hAnsi="Garamond"/>
        </w:rPr>
        <w:t xml:space="preserve">avoid dwelling on </w:t>
      </w:r>
      <w:r w:rsidR="0063197B">
        <w:rPr>
          <w:rFonts w:ascii="Garamond" w:hAnsi="Garamond"/>
        </w:rPr>
        <w:t>job loss</w:t>
      </w:r>
      <w:r w:rsidR="00964608">
        <w:rPr>
          <w:rFonts w:ascii="Garamond" w:hAnsi="Garamond"/>
        </w:rPr>
        <w:t>.</w:t>
      </w:r>
    </w:p>
    <w:p w14:paraId="6169CB56" w14:textId="12CBD262" w:rsidR="00603BD2" w:rsidRDefault="00603BD2" w:rsidP="00603BD2">
      <w:pPr>
        <w:pStyle w:val="ListParagraph"/>
        <w:numPr>
          <w:ilvl w:val="1"/>
          <w:numId w:val="8"/>
        </w:numPr>
        <w:spacing w:after="120" w:line="240" w:lineRule="auto"/>
        <w:rPr>
          <w:rFonts w:ascii="Garamond" w:hAnsi="Garamond"/>
        </w:rPr>
      </w:pPr>
      <w:r>
        <w:rPr>
          <w:rFonts w:ascii="Garamond" w:hAnsi="Garamond"/>
        </w:rPr>
        <w:t xml:space="preserve">Actually, the more I think about it, I have no idea why they are concerned about the discrete event. It is just a binary treatment like </w:t>
      </w:r>
      <w:r w:rsidR="007F24A3">
        <w:rPr>
          <w:rFonts w:ascii="Garamond" w:hAnsi="Garamond"/>
        </w:rPr>
        <w:t>other life course transitions.</w:t>
      </w:r>
      <w:r w:rsidR="00354704">
        <w:rPr>
          <w:rFonts w:ascii="Garamond" w:hAnsi="Garamond"/>
        </w:rPr>
        <w:t xml:space="preserve"> Is their concern it probably can only happen once in a period?</w:t>
      </w:r>
    </w:p>
    <w:p w14:paraId="26070BA1" w14:textId="57A8F327" w:rsidR="008A42DA" w:rsidRPr="00463247" w:rsidRDefault="008A42DA" w:rsidP="008A42DA">
      <w:pPr>
        <w:pStyle w:val="ListParagraph"/>
        <w:numPr>
          <w:ilvl w:val="0"/>
          <w:numId w:val="8"/>
        </w:numPr>
        <w:spacing w:after="120" w:line="240" w:lineRule="auto"/>
        <w:rPr>
          <w:rFonts w:ascii="Garamond" w:hAnsi="Garamond"/>
        </w:rPr>
      </w:pPr>
      <w:r>
        <w:rPr>
          <w:rFonts w:ascii="Garamond" w:hAnsi="Garamond"/>
        </w:rPr>
        <w:t xml:space="preserve">That said, </w:t>
      </w:r>
      <w:r w:rsidR="002A77D0">
        <w:rPr>
          <w:rFonts w:ascii="Garamond" w:hAnsi="Garamond"/>
        </w:rPr>
        <w:t>we would argue that it is</w:t>
      </w:r>
      <w:r>
        <w:rPr>
          <w:rFonts w:ascii="Garamond" w:hAnsi="Garamond"/>
        </w:rPr>
        <w:t xml:space="preserve"> theory and measurement that determines whether job loss as a discrete event is problematic or not in any given analysis.</w:t>
      </w:r>
      <w:r w:rsidR="00A75D98">
        <w:rPr>
          <w:rFonts w:ascii="Garamond" w:hAnsi="Garamond"/>
        </w:rPr>
        <w:t xml:space="preserve"> </w:t>
      </w:r>
      <w:r w:rsidR="004E5439">
        <w:rPr>
          <w:rFonts w:ascii="Garamond" w:hAnsi="Garamond"/>
        </w:rPr>
        <w:t xml:space="preserve">If employment is believe to impact offending through occupied time (i.e., a contemporaneous effect), </w:t>
      </w:r>
      <w:r w:rsidR="00FE1473">
        <w:rPr>
          <w:rFonts w:ascii="Garamond" w:hAnsi="Garamond"/>
        </w:rPr>
        <w:t>it</w:t>
      </w:r>
      <w:r w:rsidR="00C54370">
        <w:rPr>
          <w:rFonts w:ascii="Garamond" w:hAnsi="Garamond"/>
        </w:rPr>
        <w:t xml:space="preserve"> raises </w:t>
      </w:r>
      <w:r w:rsidR="00FE1473">
        <w:rPr>
          <w:rFonts w:ascii="Garamond" w:hAnsi="Garamond"/>
        </w:rPr>
        <w:t xml:space="preserve">the </w:t>
      </w:r>
      <w:r w:rsidR="00C54370">
        <w:rPr>
          <w:rFonts w:ascii="Garamond" w:hAnsi="Garamond"/>
        </w:rPr>
        <w:t>composite period variable problems we discuss</w:t>
      </w:r>
      <w:r w:rsidR="00A60B1B">
        <w:rPr>
          <w:rFonts w:ascii="Garamond" w:hAnsi="Garamond"/>
        </w:rPr>
        <w:t xml:space="preserve">, </w:t>
      </w:r>
      <w:r w:rsidR="003E4DCA">
        <w:rPr>
          <w:rFonts w:ascii="Garamond" w:hAnsi="Garamond"/>
        </w:rPr>
        <w:t xml:space="preserve">but with sufficient granularity (e.g., daily) it would reduce to a simple binary treatment </w:t>
      </w:r>
      <w:r w:rsidR="001225DA">
        <w:rPr>
          <w:rFonts w:ascii="Garamond" w:hAnsi="Garamond"/>
        </w:rPr>
        <w:t xml:space="preserve">in any given time period that is </w:t>
      </w:r>
      <w:r w:rsidR="00286529">
        <w:rPr>
          <w:rFonts w:ascii="Garamond" w:hAnsi="Garamond"/>
        </w:rPr>
        <w:t>amenable to a conventional CLPM.</w:t>
      </w:r>
    </w:p>
    <w:p w14:paraId="2093C534" w14:textId="77777777" w:rsidR="005D2B9D" w:rsidRDefault="00F33FCA" w:rsidP="00F33FCA">
      <w:pPr>
        <w:pStyle w:val="ListParagraph"/>
        <w:numPr>
          <w:ilvl w:val="0"/>
          <w:numId w:val="8"/>
        </w:numPr>
        <w:spacing w:after="120" w:line="240" w:lineRule="auto"/>
        <w:rPr>
          <w:rFonts w:ascii="Garamond" w:hAnsi="Garamond"/>
        </w:rPr>
      </w:pPr>
      <w:r>
        <w:rPr>
          <w:rFonts w:ascii="Garamond" w:hAnsi="Garamond"/>
        </w:rPr>
        <w:t>CCL: Did some text tweaks and a</w:t>
      </w:r>
      <w:r w:rsidR="005D2B9D">
        <w:rPr>
          <w:rFonts w:ascii="Garamond" w:hAnsi="Garamond"/>
        </w:rPr>
        <w:t>dded</w:t>
      </w:r>
      <w:r>
        <w:rPr>
          <w:rFonts w:ascii="Garamond" w:hAnsi="Garamond"/>
        </w:rPr>
        <w:t xml:space="preserve"> ref</w:t>
      </w:r>
      <w:r w:rsidR="005D2B9D">
        <w:rPr>
          <w:rFonts w:ascii="Garamond" w:hAnsi="Garamond"/>
        </w:rPr>
        <w:t>s</w:t>
      </w:r>
      <w:r>
        <w:rPr>
          <w:rFonts w:ascii="Garamond" w:hAnsi="Garamond"/>
        </w:rPr>
        <w:t xml:space="preserve"> to</w:t>
      </w:r>
      <w:r w:rsidR="005D2B9D">
        <w:rPr>
          <w:rFonts w:ascii="Garamond" w:hAnsi="Garamond"/>
        </w:rPr>
        <w:t>:</w:t>
      </w:r>
    </w:p>
    <w:p w14:paraId="563BA2F0" w14:textId="44AD8B48" w:rsidR="00F33FCA" w:rsidRDefault="00F33FCA" w:rsidP="005D2B9D">
      <w:pPr>
        <w:pStyle w:val="ListParagraph"/>
        <w:numPr>
          <w:ilvl w:val="1"/>
          <w:numId w:val="8"/>
        </w:numPr>
        <w:spacing w:after="120" w:line="240" w:lineRule="auto"/>
        <w:rPr>
          <w:rFonts w:ascii="Garamond" w:hAnsi="Garamond"/>
        </w:rPr>
      </w:pPr>
      <w:r>
        <w:rPr>
          <w:rFonts w:ascii="Garamond" w:hAnsi="Garamond"/>
        </w:rPr>
        <w:t xml:space="preserve"> Fagan &amp; Freeman (1999)</w:t>
      </w:r>
      <w:r w:rsidR="005543D7">
        <w:rPr>
          <w:rFonts w:ascii="Garamond" w:hAnsi="Garamond"/>
        </w:rPr>
        <w:t xml:space="preserve"> on crime and employment as substitutes</w:t>
      </w:r>
      <w:r>
        <w:rPr>
          <w:rFonts w:ascii="Garamond" w:hAnsi="Garamond"/>
        </w:rPr>
        <w:t xml:space="preserve"> </w:t>
      </w:r>
      <w:hyperlink r:id="rId16" w:history="1">
        <w:r w:rsidR="005D2B9D" w:rsidRPr="000A0F7C">
          <w:rPr>
            <w:rStyle w:val="Hyperlink"/>
            <w:rFonts w:ascii="Garamond" w:hAnsi="Garamond"/>
          </w:rPr>
          <w:t>https://doi.org/10.1086/449290</w:t>
        </w:r>
      </w:hyperlink>
    </w:p>
    <w:p w14:paraId="23ABDB57" w14:textId="50E478A5" w:rsidR="005D2B9D" w:rsidRPr="00041985" w:rsidRDefault="005D2B9D" w:rsidP="005D2B9D">
      <w:pPr>
        <w:pStyle w:val="ListParagraph"/>
        <w:numPr>
          <w:ilvl w:val="1"/>
          <w:numId w:val="8"/>
        </w:numPr>
        <w:spacing w:after="120" w:line="240" w:lineRule="auto"/>
        <w:rPr>
          <w:rFonts w:ascii="Garamond" w:hAnsi="Garamond"/>
        </w:rPr>
      </w:pPr>
      <w:r>
        <w:rPr>
          <w:rFonts w:ascii="Garamond" w:hAnsi="Garamond"/>
        </w:rPr>
        <w:t xml:space="preserve">Giordano et al. (2002) on dynamic life course perspectives </w:t>
      </w:r>
      <w:r w:rsidR="005A0A45" w:rsidRPr="005A0A45">
        <w:rPr>
          <w:rFonts w:ascii="Garamond" w:hAnsi="Garamond"/>
        </w:rPr>
        <w:t>https://doi.org/10.1086/343191</w:t>
      </w:r>
    </w:p>
    <w:p w14:paraId="5FA1EB3E" w14:textId="77777777" w:rsidR="00AC56F2" w:rsidRPr="00AC56F2" w:rsidRDefault="00AC56F2" w:rsidP="00AC56F2">
      <w:pPr>
        <w:spacing w:after="120" w:line="240" w:lineRule="auto"/>
        <w:rPr>
          <w:rFonts w:ascii="Garamond" w:hAnsi="Garamond"/>
        </w:rPr>
      </w:pPr>
    </w:p>
    <w:p w14:paraId="7778CDB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mention continuous time models, and I think more attention could be paid to assumptions and specifications of discrete vs continuous time, and the implications for modelling and inference. Many readers may not be familiar with continuous time, or that we make implicit assumptions about discrete vs continuous time when using panel models in these cases.</w:t>
      </w:r>
    </w:p>
    <w:p w14:paraId="7077EB92" w14:textId="792AFC42" w:rsidR="00AC56F2" w:rsidRPr="002B7BDC" w:rsidRDefault="00C015BC" w:rsidP="00AC56F2">
      <w:pPr>
        <w:spacing w:after="120" w:line="240" w:lineRule="auto"/>
        <w:rPr>
          <w:rFonts w:ascii="Garamond" w:hAnsi="Garamond"/>
          <w:b/>
          <w:bCs/>
        </w:rPr>
      </w:pPr>
      <w:r>
        <w:rPr>
          <w:rFonts w:ascii="Garamond" w:hAnsi="Garamond"/>
        </w:rPr>
        <w:t>TO DO:</w:t>
      </w:r>
      <w:r w:rsidR="002B7BDC">
        <w:rPr>
          <w:rFonts w:ascii="Garamond" w:hAnsi="Garamond"/>
        </w:rPr>
        <w:t xml:space="preserve"> </w:t>
      </w:r>
      <w:r w:rsidR="002B7BDC">
        <w:rPr>
          <w:rFonts w:ascii="Garamond" w:hAnsi="Garamond"/>
          <w:b/>
          <w:bCs/>
        </w:rPr>
        <w:t>Thiago</w:t>
      </w:r>
    </w:p>
    <w:p w14:paraId="017516F1" w14:textId="534DC1B2" w:rsidR="00C015BC" w:rsidRDefault="00C015BC" w:rsidP="00C015BC">
      <w:pPr>
        <w:pStyle w:val="ListParagraph"/>
        <w:numPr>
          <w:ilvl w:val="0"/>
          <w:numId w:val="8"/>
        </w:numPr>
        <w:spacing w:after="120" w:line="240" w:lineRule="auto"/>
        <w:rPr>
          <w:rFonts w:ascii="Garamond" w:hAnsi="Garamond"/>
        </w:rPr>
      </w:pPr>
      <w:r>
        <w:rPr>
          <w:rFonts w:ascii="Garamond" w:hAnsi="Garamond"/>
        </w:rPr>
        <w:t xml:space="preserve">Review the couple papers on continuous time models and </w:t>
      </w:r>
      <w:r w:rsidR="0046763E">
        <w:rPr>
          <w:rFonts w:ascii="Garamond" w:hAnsi="Garamond"/>
        </w:rPr>
        <w:t>write a sentence or two on</w:t>
      </w:r>
      <w:r w:rsidR="000543E8">
        <w:rPr>
          <w:rFonts w:ascii="Garamond" w:hAnsi="Garamond"/>
        </w:rPr>
        <w:t xml:space="preserve"> assumptions of discrete time.</w:t>
      </w:r>
    </w:p>
    <w:p w14:paraId="267BCB6E" w14:textId="366C8498" w:rsidR="000543E8" w:rsidRDefault="000543E8" w:rsidP="000543E8">
      <w:pPr>
        <w:pStyle w:val="ListParagraph"/>
        <w:numPr>
          <w:ilvl w:val="1"/>
          <w:numId w:val="8"/>
        </w:numPr>
        <w:spacing w:after="120" w:line="240" w:lineRule="auto"/>
        <w:rPr>
          <w:rFonts w:ascii="Garamond" w:hAnsi="Garamond"/>
        </w:rPr>
      </w:pPr>
      <w:r>
        <w:rPr>
          <w:rFonts w:ascii="Garamond" w:hAnsi="Garamond"/>
        </w:rPr>
        <w:t>CCL: My recollection is any continuous time model can be represented as a discrete time one and vice versa</w:t>
      </w:r>
      <w:r w:rsidR="00C65AAF">
        <w:rPr>
          <w:rFonts w:ascii="Garamond" w:hAnsi="Garamond"/>
        </w:rPr>
        <w:t>.</w:t>
      </w:r>
      <w:r w:rsidR="002F532D">
        <w:rPr>
          <w:rFonts w:ascii="Garamond" w:hAnsi="Garamond"/>
        </w:rPr>
        <w:t xml:space="preserve"> It isn’t possible to have continuous time measurements though</w:t>
      </w:r>
      <w:r w:rsidR="00C85322">
        <w:rPr>
          <w:rFonts w:ascii="Garamond" w:hAnsi="Garamond"/>
        </w:rPr>
        <w:t>, and resolution of measurement matters for ability to imply continuous time models.</w:t>
      </w:r>
    </w:p>
    <w:p w14:paraId="0AA49425" w14:textId="2344BC7B" w:rsidR="00A6026D" w:rsidRPr="00A6026D" w:rsidRDefault="00A6026D" w:rsidP="00A6026D">
      <w:pPr>
        <w:spacing w:after="120" w:line="240" w:lineRule="auto"/>
        <w:jc w:val="both"/>
        <w:rPr>
          <w:rFonts w:ascii="Garamond" w:hAnsi="Garamond"/>
          <w:color w:val="EE0000"/>
        </w:rPr>
      </w:pPr>
      <w:r w:rsidRPr="00A6026D">
        <w:rPr>
          <w:rFonts w:ascii="Garamond" w:hAnsi="Garamond"/>
          <w:color w:val="EE0000"/>
        </w:rPr>
        <w:t xml:space="preserve">We thank the reviewer for prompting us to develop this point. We have </w:t>
      </w:r>
      <w:r w:rsidR="00076198">
        <w:rPr>
          <w:rFonts w:ascii="Garamond" w:hAnsi="Garamond"/>
          <w:color w:val="EE0000"/>
        </w:rPr>
        <w:t xml:space="preserve">now included an </w:t>
      </w:r>
      <w:r w:rsidRPr="00A6026D">
        <w:rPr>
          <w:rFonts w:ascii="Garamond" w:hAnsi="Garamond"/>
          <w:color w:val="EE0000"/>
        </w:rPr>
        <w:t>expanded footnote on continuous-time models</w:t>
      </w:r>
      <w:r w:rsidR="00076198">
        <w:rPr>
          <w:rFonts w:ascii="Garamond" w:hAnsi="Garamond"/>
          <w:color w:val="EE0000"/>
        </w:rPr>
        <w:t xml:space="preserve"> (footnote ## in page XX)</w:t>
      </w:r>
      <w:r w:rsidRPr="00A6026D">
        <w:rPr>
          <w:rFonts w:ascii="Garamond" w:hAnsi="Garamond"/>
          <w:color w:val="EE0000"/>
        </w:rPr>
        <w:t xml:space="preserve"> that (i) makes explicit the implicit temporal-scale assumption of discrete-time CLPMs, (ii) introduces the continuous-time alternative and its main advantage (interval-comparable parameters), and (iii) notes the embedding problem as a limit on what continuous-time models can recover from sparse panel data. We agree this is an important consideration that many applied </w:t>
      </w:r>
      <w:r w:rsidRPr="00A6026D">
        <w:rPr>
          <w:rFonts w:ascii="Garamond" w:hAnsi="Garamond"/>
          <w:color w:val="EE0000"/>
        </w:rPr>
        <w:lastRenderedPageBreak/>
        <w:t>readers will not encounter elsewhere, but we have kept the treatment compact so as not to redirect the paper toward continuous-time methods specifically.</w:t>
      </w:r>
    </w:p>
    <w:p w14:paraId="0AA12ACB" w14:textId="77777777" w:rsidR="00AC56F2" w:rsidRPr="00AC56F2" w:rsidRDefault="00AC56F2" w:rsidP="00AC56F2">
      <w:pPr>
        <w:spacing w:after="120" w:line="240" w:lineRule="auto"/>
        <w:rPr>
          <w:rFonts w:ascii="Garamond" w:hAnsi="Garamond"/>
        </w:rPr>
      </w:pPr>
    </w:p>
    <w:p w14:paraId="43952C0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discuss measurement a few times throughout, distinguishing between retrospective and current measures. This is an important point, and I think the authors could elaborate even more on these issues. Retrospective measures often have different time frames, and “current” measures are sometimes framed in a general way that it could cover a much broader timeframe than what people feel in the moment. In particular for CLPMs, the retrospective measures in different timeframes could create further issues in temporal ordering (eg, last 7 days, last 6 months). Retrospective measures also create multiple potential causal pathways within the CLPM (see Speyer et al: https://www.tandfonline.com/doi/full/10.1080/00273171.2024.2428222).</w:t>
      </w:r>
    </w:p>
    <w:p w14:paraId="4CC63F30" w14:textId="452D790B" w:rsidR="00AC56F2" w:rsidRPr="002B7BDC" w:rsidRDefault="0047705A" w:rsidP="00AC56F2">
      <w:pPr>
        <w:spacing w:after="120" w:line="240" w:lineRule="auto"/>
        <w:rPr>
          <w:rFonts w:ascii="Garamond" w:hAnsi="Garamond"/>
          <w:b/>
          <w:bCs/>
        </w:rPr>
      </w:pPr>
      <w:r>
        <w:rPr>
          <w:rFonts w:ascii="Garamond" w:hAnsi="Garamond"/>
        </w:rPr>
        <w:t>TO DO:</w:t>
      </w:r>
      <w:r w:rsidR="002B7BDC">
        <w:rPr>
          <w:rFonts w:ascii="Garamond" w:hAnsi="Garamond"/>
        </w:rPr>
        <w:t xml:space="preserve"> </w:t>
      </w:r>
      <w:r w:rsidR="002B7BDC">
        <w:rPr>
          <w:rFonts w:ascii="Garamond" w:hAnsi="Garamond"/>
          <w:b/>
          <w:bCs/>
        </w:rPr>
        <w:t>Thiago</w:t>
      </w:r>
    </w:p>
    <w:p w14:paraId="3BEA0010" w14:textId="040A5E79" w:rsidR="0047705A" w:rsidRDefault="0047705A" w:rsidP="0047705A">
      <w:pPr>
        <w:pStyle w:val="ListParagraph"/>
        <w:numPr>
          <w:ilvl w:val="0"/>
          <w:numId w:val="8"/>
        </w:numPr>
        <w:spacing w:after="120" w:line="240" w:lineRule="auto"/>
        <w:rPr>
          <w:rFonts w:ascii="Garamond" w:hAnsi="Garamond"/>
        </w:rPr>
      </w:pPr>
      <w:r>
        <w:rPr>
          <w:rFonts w:ascii="Garamond" w:hAnsi="Garamond"/>
        </w:rPr>
        <w:t>Read up a bit on retrospective and current measures; expand discussion of retrospective vs. current measures</w:t>
      </w:r>
      <w:r w:rsidR="002B7BDC">
        <w:rPr>
          <w:rFonts w:ascii="Garamond" w:hAnsi="Garamond"/>
        </w:rPr>
        <w:t>; write 2-3 sentences that acknowledge issue but defer to other literature</w:t>
      </w:r>
    </w:p>
    <w:p w14:paraId="735765DE" w14:textId="4CA0727D" w:rsidR="00896D02" w:rsidRDefault="00896D02" w:rsidP="00896D02">
      <w:pPr>
        <w:pStyle w:val="ListParagraph"/>
        <w:numPr>
          <w:ilvl w:val="1"/>
          <w:numId w:val="8"/>
        </w:numPr>
        <w:spacing w:after="120" w:line="240" w:lineRule="auto"/>
        <w:rPr>
          <w:rFonts w:ascii="Garamond" w:hAnsi="Garamond"/>
        </w:rPr>
      </w:pPr>
      <w:r>
        <w:rPr>
          <w:rFonts w:ascii="Garamond" w:hAnsi="Garamond"/>
        </w:rPr>
        <w:t>CCL: I like the idea to do this but I think the lit is pretty huge, so need to avoid adding too much bulk</w:t>
      </w:r>
      <w:r w:rsidR="004D2D02">
        <w:rPr>
          <w:rFonts w:ascii="Garamond" w:hAnsi="Garamond"/>
        </w:rPr>
        <w:t xml:space="preserve">, e.g., I must resist showing a </w:t>
      </w:r>
      <w:r w:rsidR="004F50E1">
        <w:rPr>
          <w:rFonts w:ascii="Garamond" w:hAnsi="Garamond"/>
        </w:rPr>
        <w:t>DAG for a CLPM between two measures with different temporal spans.</w:t>
      </w:r>
    </w:p>
    <w:p w14:paraId="7E41DA9C" w14:textId="1FF833C9" w:rsidR="007230AF" w:rsidRPr="007230AF" w:rsidRDefault="007230AF" w:rsidP="007230AF">
      <w:pPr>
        <w:spacing w:after="120" w:line="240" w:lineRule="auto"/>
        <w:jc w:val="both"/>
        <w:rPr>
          <w:rFonts w:ascii="Garamond" w:hAnsi="Garamond"/>
          <w:color w:val="EE0000"/>
        </w:rPr>
      </w:pPr>
      <w:r w:rsidRPr="007230AF">
        <w:rPr>
          <w:rFonts w:ascii="Garamond" w:hAnsi="Garamond"/>
          <w:color w:val="EE0000"/>
        </w:rPr>
        <w:t>We have added text to the section introducing instantaneous and period measures (p. XX) that (i) acknowledges retrospective windows can vary across measures within a single wave, (ii) notes that "current" perception items are themselves often interpreted by respondents over an unspecified window, and (iii) flags that mismatched windows compound the within-wave ambiguity we discuss elsewhere.</w:t>
      </w:r>
    </w:p>
    <w:p w14:paraId="56D59086" w14:textId="77777777" w:rsidR="00AC56F2" w:rsidRPr="00AC56F2" w:rsidRDefault="00AC56F2" w:rsidP="00AC56F2">
      <w:pPr>
        <w:spacing w:after="120" w:line="240" w:lineRule="auto"/>
        <w:rPr>
          <w:rFonts w:ascii="Garamond" w:hAnsi="Garamond"/>
        </w:rPr>
      </w:pPr>
    </w:p>
    <w:p w14:paraId="6C72F4F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the second half of the paper, the authors make several important points. However, sometimes the language is abstracted and technical referring to causal and statistical language, making it difficult to follow for a reader not very familiar with these issues. It depends on who the audience is for this paper, but I would guess that the authors want to aim at empirical researchers who may be interested – either theoretically or empirically – in examining reciprocal relationships. This audience may or may not have a strong statistical background. In the front end, the authors used the two theoretical case studies, but they are not applied as much in the second half of the paper. I would recommend that the authors bring their examples to the second half of the paper to illustrate the problems and solutions, and try to avoid using only technical language. Applying the issues/solutions to the case studies can help illustrate exactly how these would look in theory and empirical research.</w:t>
      </w:r>
    </w:p>
    <w:p w14:paraId="2F93754B" w14:textId="52FCF504" w:rsidR="000F516A" w:rsidRPr="002C054E" w:rsidRDefault="000F516A" w:rsidP="00AC56F2">
      <w:pPr>
        <w:spacing w:after="120" w:line="240" w:lineRule="auto"/>
        <w:rPr>
          <w:rFonts w:ascii="Garamond" w:hAnsi="Garamond"/>
          <w:b/>
          <w:bCs/>
        </w:rPr>
      </w:pPr>
      <w:r>
        <w:rPr>
          <w:rFonts w:ascii="Garamond" w:hAnsi="Garamond"/>
        </w:rPr>
        <w:t>TO DO:</w:t>
      </w:r>
      <w:r w:rsidR="002C054E">
        <w:rPr>
          <w:rFonts w:ascii="Garamond" w:hAnsi="Garamond"/>
        </w:rPr>
        <w:t xml:space="preserve"> </w:t>
      </w:r>
      <w:r w:rsidR="002C054E">
        <w:rPr>
          <w:rFonts w:ascii="Garamond" w:hAnsi="Garamond"/>
          <w:b/>
          <w:bCs/>
        </w:rPr>
        <w:t>Thiago then CCL</w:t>
      </w:r>
    </w:p>
    <w:p w14:paraId="0F4827D3" w14:textId="276EDB40" w:rsidR="00B92D20" w:rsidRDefault="000F516A" w:rsidP="000F516A">
      <w:pPr>
        <w:pStyle w:val="ListParagraph"/>
        <w:numPr>
          <w:ilvl w:val="0"/>
          <w:numId w:val="8"/>
        </w:numPr>
        <w:spacing w:after="120" w:line="240" w:lineRule="auto"/>
        <w:rPr>
          <w:rFonts w:ascii="Garamond" w:hAnsi="Garamond"/>
        </w:rPr>
      </w:pPr>
      <w:r>
        <w:rPr>
          <w:rFonts w:ascii="Garamond" w:hAnsi="Garamond"/>
        </w:rPr>
        <w:t xml:space="preserve">Thorough sweep of the paper looking to </w:t>
      </w:r>
      <w:r w:rsidR="00B92D20">
        <w:rPr>
          <w:rFonts w:ascii="Garamond" w:hAnsi="Garamond"/>
        </w:rPr>
        <w:t xml:space="preserve">simplify and smooth technical sides for readers, in two ways: (a) make sure terms are carefully defined if used; (b) replace technical terms and purely abstract </w:t>
      </w:r>
      <w:r w:rsidR="00EA1AD3">
        <w:rPr>
          <w:rFonts w:ascii="Garamond" w:hAnsi="Garamond"/>
        </w:rPr>
        <w:t>content with examples using our front end topics.</w:t>
      </w:r>
      <w:r w:rsidR="00774553">
        <w:rPr>
          <w:rFonts w:ascii="Garamond" w:hAnsi="Garamond"/>
        </w:rPr>
        <w:t xml:space="preserve"> Main thing is tying to concrete examples rather than abstractions.</w:t>
      </w:r>
    </w:p>
    <w:p w14:paraId="498C36C1" w14:textId="0EED9179" w:rsidR="00AC56F2" w:rsidRDefault="000F516A" w:rsidP="00AC56F2">
      <w:pPr>
        <w:pStyle w:val="ListParagraph"/>
        <w:numPr>
          <w:ilvl w:val="1"/>
          <w:numId w:val="8"/>
        </w:numPr>
        <w:spacing w:after="120" w:line="240" w:lineRule="auto"/>
        <w:rPr>
          <w:rFonts w:ascii="Garamond" w:hAnsi="Garamond"/>
        </w:rPr>
      </w:pPr>
      <w:r w:rsidRPr="000F516A">
        <w:rPr>
          <w:rFonts w:ascii="Garamond" w:hAnsi="Garamond"/>
        </w:rPr>
        <w:t>CCL:</w:t>
      </w:r>
      <w:r w:rsidR="00EA1AD3">
        <w:rPr>
          <w:rFonts w:ascii="Garamond" w:hAnsi="Garamond"/>
        </w:rPr>
        <w:t xml:space="preserve"> Yeah, given how we wrote paper, it makes sense back half is more technical; we worked backwards from it!</w:t>
      </w:r>
    </w:p>
    <w:p w14:paraId="57AD4986" w14:textId="77777777" w:rsidR="00EA1AD3" w:rsidRPr="00EA1AD3" w:rsidRDefault="00EA1AD3" w:rsidP="000C7195">
      <w:pPr>
        <w:pStyle w:val="ListParagraph"/>
        <w:spacing w:after="120" w:line="240" w:lineRule="auto"/>
        <w:ind w:left="1440"/>
        <w:rPr>
          <w:rFonts w:ascii="Garamond" w:hAnsi="Garamond"/>
        </w:rPr>
      </w:pPr>
    </w:p>
    <w:p w14:paraId="566FDDF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Related to the above comment, the authors introduce two extensions to CLPM. It would be helpful for the reader if the authors provide more examples of criminological studies who have applied these methods. If possible, it would also be helpful to discuss how these models/findings compare to traditional CLPM findings – although that may be a whole new study in itself, so feel free to disregard. At least some citations of examples can help the reader see these models applied to questions in criminology.</w:t>
      </w:r>
    </w:p>
    <w:p w14:paraId="1CA31CE8" w14:textId="600C5F4B" w:rsidR="00AC56F2" w:rsidRPr="005B0B4D" w:rsidRDefault="000C7195" w:rsidP="00AC56F2">
      <w:pPr>
        <w:spacing w:after="120" w:line="240" w:lineRule="auto"/>
        <w:rPr>
          <w:rFonts w:ascii="Garamond" w:hAnsi="Garamond"/>
          <w:b/>
          <w:bCs/>
        </w:rPr>
      </w:pPr>
      <w:r>
        <w:rPr>
          <w:rFonts w:ascii="Garamond" w:hAnsi="Garamond"/>
        </w:rPr>
        <w:t>TO DO:</w:t>
      </w:r>
      <w:r w:rsidR="005B0B4D">
        <w:rPr>
          <w:rFonts w:ascii="Garamond" w:hAnsi="Garamond"/>
        </w:rPr>
        <w:t xml:space="preserve"> </w:t>
      </w:r>
      <w:r w:rsidR="005B0B4D">
        <w:rPr>
          <w:rFonts w:ascii="Garamond" w:hAnsi="Garamond"/>
          <w:b/>
          <w:bCs/>
        </w:rPr>
        <w:t>CCL then Thiago</w:t>
      </w:r>
    </w:p>
    <w:p w14:paraId="4D38E6C1" w14:textId="1C41D19D" w:rsidR="00AB02C1" w:rsidRDefault="00AB02C1" w:rsidP="000C7195">
      <w:pPr>
        <w:pStyle w:val="ListParagraph"/>
        <w:numPr>
          <w:ilvl w:val="0"/>
          <w:numId w:val="8"/>
        </w:numPr>
        <w:spacing w:after="120" w:line="240" w:lineRule="auto"/>
        <w:rPr>
          <w:rFonts w:ascii="Garamond" w:hAnsi="Garamond"/>
        </w:rPr>
      </w:pPr>
      <w:r>
        <w:rPr>
          <w:rFonts w:ascii="Garamond" w:hAnsi="Garamond"/>
        </w:rPr>
        <w:t>We have added some examples of research using ML-SEM both in developmental and life course criminology and criminology more broadly.</w:t>
      </w:r>
    </w:p>
    <w:p w14:paraId="6382E590" w14:textId="4D30339D" w:rsidR="000C7195" w:rsidRDefault="000C7195" w:rsidP="000C7195">
      <w:pPr>
        <w:pStyle w:val="ListParagraph"/>
        <w:numPr>
          <w:ilvl w:val="0"/>
          <w:numId w:val="8"/>
        </w:numPr>
        <w:spacing w:after="120" w:line="240" w:lineRule="auto"/>
        <w:rPr>
          <w:rFonts w:ascii="Garamond" w:hAnsi="Garamond"/>
        </w:rPr>
      </w:pPr>
      <w:r>
        <w:rPr>
          <w:rFonts w:ascii="Garamond" w:hAnsi="Garamond"/>
        </w:rPr>
        <w:t>Add examples of studies using the ML-SEM and RI-CLPM.</w:t>
      </w:r>
    </w:p>
    <w:p w14:paraId="440F8843" w14:textId="34336A3B" w:rsidR="00EB5DD1" w:rsidRDefault="00EB5DD1" w:rsidP="00EB5DD1">
      <w:pPr>
        <w:pStyle w:val="ListParagraph"/>
        <w:numPr>
          <w:ilvl w:val="1"/>
          <w:numId w:val="8"/>
        </w:numPr>
        <w:spacing w:after="120" w:line="240" w:lineRule="auto"/>
        <w:rPr>
          <w:rFonts w:ascii="Garamond" w:hAnsi="Garamond"/>
        </w:rPr>
      </w:pPr>
      <w:r w:rsidRPr="00EB5DD1">
        <w:rPr>
          <w:rFonts w:ascii="Garamond" w:hAnsi="Garamond"/>
        </w:rPr>
        <w:t>ML-SEM</w:t>
      </w:r>
      <w:r w:rsidR="00DB4F02">
        <w:rPr>
          <w:rFonts w:ascii="Garamond" w:hAnsi="Garamond"/>
        </w:rPr>
        <w:t xml:space="preserve"> is perhaps less used but there’s still a bunch</w:t>
      </w:r>
      <w:r>
        <w:rPr>
          <w:rFonts w:ascii="Garamond" w:hAnsi="Garamond"/>
        </w:rPr>
        <w:t>:</w:t>
      </w:r>
    </w:p>
    <w:p w14:paraId="49CDDE5E" w14:textId="4084DC98" w:rsidR="009B50A3" w:rsidRDefault="00EA3F75" w:rsidP="00EB5DD1">
      <w:pPr>
        <w:pStyle w:val="ListParagraph"/>
        <w:numPr>
          <w:ilvl w:val="2"/>
          <w:numId w:val="8"/>
        </w:numPr>
        <w:spacing w:after="120" w:line="240" w:lineRule="auto"/>
        <w:rPr>
          <w:rFonts w:ascii="Garamond" w:hAnsi="Garamond"/>
        </w:rPr>
      </w:pPr>
      <w:r w:rsidRPr="00EB5DD1">
        <w:rPr>
          <w:rFonts w:ascii="Garamond" w:hAnsi="Garamond"/>
        </w:rPr>
        <w:lastRenderedPageBreak/>
        <w:t>I’ve used ML-SEM in the Airbnb paper</w:t>
      </w:r>
      <w:r w:rsidR="001364DE" w:rsidRPr="00EB5DD1">
        <w:rPr>
          <w:rFonts w:ascii="Garamond" w:hAnsi="Garamond"/>
        </w:rPr>
        <w:t xml:space="preserve"> and you’ve used it in the Law &amp; Society review piece but both are neighborhoods stuff.</w:t>
      </w:r>
      <w:r w:rsidR="00E379A7" w:rsidRPr="00EB5DD1">
        <w:rPr>
          <w:rFonts w:ascii="Garamond" w:hAnsi="Garamond"/>
        </w:rPr>
        <w:t xml:space="preserve"> </w:t>
      </w:r>
    </w:p>
    <w:p w14:paraId="013107C9" w14:textId="386ED9FE" w:rsidR="003B68DA" w:rsidRPr="00EB5DD1" w:rsidRDefault="003B68DA" w:rsidP="003B68DA">
      <w:pPr>
        <w:pStyle w:val="ListParagraph"/>
        <w:numPr>
          <w:ilvl w:val="3"/>
          <w:numId w:val="8"/>
        </w:numPr>
        <w:spacing w:after="120" w:line="240" w:lineRule="auto"/>
        <w:rPr>
          <w:rFonts w:ascii="Garamond" w:hAnsi="Garamond"/>
        </w:rPr>
      </w:pPr>
      <w:r>
        <w:rPr>
          <w:rFonts w:ascii="Garamond" w:hAnsi="Garamond"/>
        </w:rPr>
        <w:t>Actually do use the Airbnb paper as it is a good temporal timing one; AJS if we magically get an R&amp;R</w:t>
      </w:r>
    </w:p>
    <w:p w14:paraId="1AD56CEB" w14:textId="32A046EE" w:rsidR="00EA3F75" w:rsidRDefault="00E379A7" w:rsidP="009B50A3">
      <w:pPr>
        <w:pStyle w:val="ListParagraph"/>
        <w:numPr>
          <w:ilvl w:val="2"/>
          <w:numId w:val="8"/>
        </w:numPr>
        <w:spacing w:after="120" w:line="240" w:lineRule="auto"/>
        <w:rPr>
          <w:rFonts w:ascii="Garamond" w:hAnsi="Garamond"/>
        </w:rPr>
      </w:pPr>
      <w:r>
        <w:rPr>
          <w:rFonts w:ascii="Garamond" w:hAnsi="Garamond"/>
        </w:rPr>
        <w:t>Some other non-life course stuff is Rosenfeld &amp; Wallman (2019) on de-policing and homicide rates in US</w:t>
      </w:r>
      <w:r w:rsidR="009B50A3">
        <w:rPr>
          <w:rFonts w:ascii="Garamond" w:hAnsi="Garamond"/>
        </w:rPr>
        <w:t>.</w:t>
      </w:r>
    </w:p>
    <w:p w14:paraId="07B39D6B" w14:textId="7E725804" w:rsidR="009B50A3" w:rsidRDefault="009B50A3" w:rsidP="009B50A3">
      <w:pPr>
        <w:pStyle w:val="ListParagraph"/>
        <w:numPr>
          <w:ilvl w:val="2"/>
          <w:numId w:val="8"/>
        </w:numPr>
        <w:spacing w:after="120" w:line="240" w:lineRule="auto"/>
        <w:rPr>
          <w:rFonts w:ascii="Garamond" w:hAnsi="Garamond"/>
        </w:rPr>
      </w:pPr>
      <w:r>
        <w:rPr>
          <w:rFonts w:ascii="Garamond" w:hAnsi="Garamond"/>
        </w:rPr>
        <w:t>Some life course stuff:</w:t>
      </w:r>
    </w:p>
    <w:p w14:paraId="41870FFF" w14:textId="72B16C51" w:rsidR="00893AB2" w:rsidRPr="00893AB2" w:rsidRDefault="009B50A3" w:rsidP="00893AB2">
      <w:pPr>
        <w:pStyle w:val="ListParagraph"/>
        <w:numPr>
          <w:ilvl w:val="3"/>
          <w:numId w:val="8"/>
        </w:numPr>
        <w:rPr>
          <w:rFonts w:ascii="Garamond" w:hAnsi="Garamond"/>
        </w:rPr>
      </w:pPr>
      <w:r w:rsidRPr="00893AB2">
        <w:rPr>
          <w:rFonts w:ascii="Garamond" w:hAnsi="Garamond"/>
        </w:rPr>
        <w:t>Unnever &amp; Chouhy (2020) use it as a robustness test</w:t>
      </w:r>
      <w:r w:rsidR="00893AB2">
        <w:rPr>
          <w:rFonts w:ascii="Garamond" w:hAnsi="Garamond"/>
        </w:rPr>
        <w:t xml:space="preserve"> in paper about race, gender, and perceptions of peer delinquency in PHDCN-LCS</w:t>
      </w:r>
      <w:r w:rsidRPr="00893AB2">
        <w:rPr>
          <w:rFonts w:ascii="Garamond" w:hAnsi="Garamond"/>
        </w:rPr>
        <w:t>.</w:t>
      </w:r>
      <w:r w:rsidR="00893AB2" w:rsidRPr="00893AB2">
        <w:rPr>
          <w:rFonts w:ascii="Garamond" w:hAnsi="Garamond"/>
        </w:rPr>
        <w:t xml:space="preserve"> https://doi.org/10.1080/01639625.2019.1623604</w:t>
      </w:r>
    </w:p>
    <w:p w14:paraId="4D8337AD" w14:textId="3F8C89CD" w:rsidR="009B50A3" w:rsidRDefault="00D006FB" w:rsidP="009B50A3">
      <w:pPr>
        <w:pStyle w:val="ListParagraph"/>
        <w:numPr>
          <w:ilvl w:val="3"/>
          <w:numId w:val="8"/>
        </w:numPr>
        <w:spacing w:after="120" w:line="240" w:lineRule="auto"/>
        <w:rPr>
          <w:rFonts w:ascii="Garamond" w:hAnsi="Garamond"/>
        </w:rPr>
      </w:pPr>
      <w:r w:rsidRPr="00D006FB">
        <w:rPr>
          <w:rFonts w:ascii="Garamond" w:hAnsi="Garamond"/>
        </w:rPr>
        <w:t>Yeungjeom Lee</w:t>
      </w:r>
      <w:r>
        <w:rPr>
          <w:rFonts w:ascii="Garamond" w:hAnsi="Garamond"/>
        </w:rPr>
        <w:t xml:space="preserve"> (</w:t>
      </w:r>
      <w:hyperlink r:id="rId17" w:history="1">
        <w:r w:rsidRPr="0044605E">
          <w:rPr>
            <w:rStyle w:val="Hyperlink"/>
            <w:rFonts w:ascii="Garamond" w:hAnsi="Garamond"/>
          </w:rPr>
          <w:t>https://profiles.utdallas.edu/yjlee</w:t>
        </w:r>
      </w:hyperlink>
      <w:r>
        <w:rPr>
          <w:rFonts w:ascii="Garamond" w:hAnsi="Garamond"/>
        </w:rPr>
        <w:t>) seems to have written a ton of life course papers using ML-SEM</w:t>
      </w:r>
      <w:r w:rsidR="00A32C24">
        <w:rPr>
          <w:rFonts w:ascii="Garamond" w:hAnsi="Garamond"/>
        </w:rPr>
        <w:t>; might find a good one to cite.</w:t>
      </w:r>
    </w:p>
    <w:p w14:paraId="7A3E8630" w14:textId="7133348F" w:rsidR="004319C3" w:rsidRDefault="004319C3" w:rsidP="009B50A3">
      <w:pPr>
        <w:pStyle w:val="ListParagraph"/>
        <w:numPr>
          <w:ilvl w:val="3"/>
          <w:numId w:val="8"/>
        </w:numPr>
        <w:spacing w:after="120" w:line="240" w:lineRule="auto"/>
        <w:rPr>
          <w:rFonts w:ascii="Garamond" w:hAnsi="Garamond"/>
        </w:rPr>
      </w:pPr>
      <w:r>
        <w:rPr>
          <w:rFonts w:ascii="Garamond" w:hAnsi="Garamond"/>
        </w:rPr>
        <w:t xml:space="preserve">DeMarco, Leppard, &amp; Lindsay (2024) on </w:t>
      </w:r>
      <w:r w:rsidR="00A66D24">
        <w:rPr>
          <w:rFonts w:ascii="Garamond" w:hAnsi="Garamond"/>
        </w:rPr>
        <w:t xml:space="preserve">effects of </w:t>
      </w:r>
      <w:r>
        <w:rPr>
          <w:rFonts w:ascii="Garamond" w:hAnsi="Garamond"/>
        </w:rPr>
        <w:t>delinquency</w:t>
      </w:r>
      <w:r w:rsidR="00A66D24">
        <w:rPr>
          <w:rFonts w:ascii="Garamond" w:hAnsi="Garamond"/>
        </w:rPr>
        <w:t xml:space="preserve"> and</w:t>
      </w:r>
      <w:r>
        <w:rPr>
          <w:rFonts w:ascii="Garamond" w:hAnsi="Garamond"/>
        </w:rPr>
        <w:t xml:space="preserve"> arrest</w:t>
      </w:r>
      <w:r w:rsidR="00A66D24">
        <w:rPr>
          <w:rFonts w:ascii="Garamond" w:hAnsi="Garamond"/>
        </w:rPr>
        <w:t xml:space="preserve"> on</w:t>
      </w:r>
      <w:r>
        <w:rPr>
          <w:rFonts w:ascii="Garamond" w:hAnsi="Garamond"/>
        </w:rPr>
        <w:t xml:space="preserve"> family social capital in adolescence </w:t>
      </w:r>
      <w:hyperlink r:id="rId18" w:history="1">
        <w:r w:rsidRPr="0044605E">
          <w:rPr>
            <w:rStyle w:val="Hyperlink"/>
            <w:rFonts w:ascii="Garamond" w:hAnsi="Garamond"/>
          </w:rPr>
          <w:t>https://doi.org/10.1111/jomf.13029</w:t>
        </w:r>
      </w:hyperlink>
    </w:p>
    <w:p w14:paraId="796288F7" w14:textId="2E64AF01" w:rsidR="00EB5DD1" w:rsidRDefault="00DB4F02" w:rsidP="00EB5DD1">
      <w:pPr>
        <w:pStyle w:val="ListParagraph"/>
        <w:numPr>
          <w:ilvl w:val="1"/>
          <w:numId w:val="8"/>
        </w:numPr>
        <w:spacing w:after="120" w:line="240" w:lineRule="auto"/>
        <w:rPr>
          <w:rFonts w:ascii="Garamond" w:hAnsi="Garamond"/>
        </w:rPr>
      </w:pPr>
      <w:r>
        <w:rPr>
          <w:rFonts w:ascii="Garamond" w:hAnsi="Garamond"/>
        </w:rPr>
        <w:t>RI-CLPM seems plentiful:</w:t>
      </w:r>
    </w:p>
    <w:p w14:paraId="33F44FD4" w14:textId="0876FF7A" w:rsidR="00AB0DBC" w:rsidRDefault="00AB0DBC" w:rsidP="006F7754">
      <w:pPr>
        <w:pStyle w:val="ListParagraph"/>
        <w:numPr>
          <w:ilvl w:val="2"/>
          <w:numId w:val="8"/>
        </w:numPr>
        <w:spacing w:after="120" w:line="240" w:lineRule="auto"/>
        <w:rPr>
          <w:rFonts w:ascii="Garamond" w:hAnsi="Garamond"/>
        </w:rPr>
      </w:pPr>
      <w:r>
        <w:rPr>
          <w:rFonts w:ascii="Garamond" w:hAnsi="Garamond"/>
        </w:rPr>
        <w:t>This paper Manuel is on actually seems methodologically relevant to us</w:t>
      </w:r>
      <w:r w:rsidR="00FE1BDB">
        <w:rPr>
          <w:rFonts w:ascii="Garamond" w:hAnsi="Garamond"/>
        </w:rPr>
        <w:t>: Speyer et al. (2024) “</w:t>
      </w:r>
      <w:r w:rsidR="00FE1BDB" w:rsidRPr="00FE1BDB">
        <w:rPr>
          <w:rFonts w:ascii="Garamond" w:hAnsi="Garamond"/>
        </w:rPr>
        <w:t>On the Importance of Considering Concurrent Effects in Random-Intercept Cross-Lagged Panel Modelling</w:t>
      </w:r>
      <w:r w:rsidR="00FE1BDB">
        <w:rPr>
          <w:rFonts w:ascii="Garamond" w:hAnsi="Garamond"/>
        </w:rPr>
        <w:t xml:space="preserve">” </w:t>
      </w:r>
      <w:hyperlink r:id="rId19" w:history="1">
        <w:r w:rsidR="00FE1BDB" w:rsidRPr="0044605E">
          <w:rPr>
            <w:rStyle w:val="Hyperlink"/>
            <w:rFonts w:ascii="Garamond" w:hAnsi="Garamond"/>
          </w:rPr>
          <w:t>https://www.tandfonline.com/doi/full/10.1080/00273171.2024.2428222</w:t>
        </w:r>
      </w:hyperlink>
      <w:r w:rsidR="00FE1BDB">
        <w:rPr>
          <w:rFonts w:ascii="Garamond" w:hAnsi="Garamond"/>
        </w:rPr>
        <w:t xml:space="preserve"> </w:t>
      </w:r>
      <w:r w:rsidR="00334C37">
        <w:rPr>
          <w:rFonts w:ascii="Garamond" w:hAnsi="Garamond"/>
        </w:rPr>
        <w:t>: “</w:t>
      </w:r>
      <w:r w:rsidR="00334C37" w:rsidRPr="00334C37">
        <w:rPr>
          <w:rFonts w:ascii="Garamond" w:hAnsi="Garamond"/>
        </w:rPr>
        <w:t>Results highlight that not considering directional concurrent effects may lead to biased cross-lagged effects. Thus, it is essential to carefully consider potential directional concurrent effects when choosing models to analyze directional associations between variables over time.</w:t>
      </w:r>
      <w:r w:rsidR="00334C37">
        <w:rPr>
          <w:rFonts w:ascii="Garamond" w:hAnsi="Garamond"/>
        </w:rPr>
        <w:t>”</w:t>
      </w:r>
    </w:p>
    <w:p w14:paraId="4A257A40" w14:textId="1783BCF2" w:rsidR="006F7754" w:rsidRDefault="006F7754" w:rsidP="006F7754">
      <w:pPr>
        <w:pStyle w:val="ListParagraph"/>
        <w:numPr>
          <w:ilvl w:val="2"/>
          <w:numId w:val="8"/>
        </w:numPr>
        <w:spacing w:after="120" w:line="240" w:lineRule="auto"/>
        <w:rPr>
          <w:rFonts w:ascii="Garamond" w:hAnsi="Garamond"/>
        </w:rPr>
      </w:pPr>
      <w:r>
        <w:rPr>
          <w:rFonts w:ascii="Garamond" w:hAnsi="Garamond"/>
        </w:rPr>
        <w:t>In JDLCC alone:</w:t>
      </w:r>
    </w:p>
    <w:p w14:paraId="5F81E787" w14:textId="38BF8072" w:rsidR="006F7754" w:rsidRDefault="006F7754" w:rsidP="006F7754">
      <w:pPr>
        <w:pStyle w:val="ListParagraph"/>
        <w:numPr>
          <w:ilvl w:val="3"/>
          <w:numId w:val="8"/>
        </w:numPr>
        <w:spacing w:after="120" w:line="240" w:lineRule="auto"/>
        <w:rPr>
          <w:rFonts w:ascii="Garamond" w:hAnsi="Garamond"/>
        </w:rPr>
      </w:pPr>
      <w:r>
        <w:rPr>
          <w:rFonts w:ascii="Garamond" w:hAnsi="Garamond"/>
        </w:rPr>
        <w:t xml:space="preserve">Forney &amp; Ward (2019) on identity, peer resistance, and antisocial influence </w:t>
      </w:r>
      <w:hyperlink r:id="rId20" w:history="1">
        <w:r w:rsidR="009A789C" w:rsidRPr="0044605E">
          <w:rPr>
            <w:rStyle w:val="Hyperlink"/>
            <w:rFonts w:ascii="Garamond" w:hAnsi="Garamond"/>
          </w:rPr>
          <w:t>https://link.springer.com/article/10.1007/s40865-018-0102-0</w:t>
        </w:r>
      </w:hyperlink>
    </w:p>
    <w:p w14:paraId="0434BB48" w14:textId="36A7FE3E" w:rsidR="009A789C" w:rsidRDefault="009A789C" w:rsidP="006F7754">
      <w:pPr>
        <w:pStyle w:val="ListParagraph"/>
        <w:numPr>
          <w:ilvl w:val="3"/>
          <w:numId w:val="8"/>
        </w:numPr>
        <w:spacing w:after="120" w:line="240" w:lineRule="auto"/>
        <w:rPr>
          <w:rFonts w:ascii="Garamond" w:hAnsi="Garamond"/>
        </w:rPr>
      </w:pPr>
      <w:r>
        <w:rPr>
          <w:rFonts w:ascii="Garamond" w:hAnsi="Garamond"/>
        </w:rPr>
        <w:t xml:space="preserve">Chen &amp; Nichols (2026) on correctional time and perceptions of legitimacy / legal cynicism </w:t>
      </w:r>
      <w:hyperlink r:id="rId21" w:history="1">
        <w:r w:rsidRPr="0044605E">
          <w:rPr>
            <w:rStyle w:val="Hyperlink"/>
            <w:rFonts w:ascii="Garamond" w:hAnsi="Garamond"/>
          </w:rPr>
          <w:t>https://link.springer.com/article/10.1007/s40865-026-00298-9</w:t>
        </w:r>
      </w:hyperlink>
    </w:p>
    <w:p w14:paraId="26408807" w14:textId="36FAC7D8" w:rsidR="002F6E12" w:rsidRPr="00DF6202" w:rsidRDefault="002F6E12" w:rsidP="00DF6202">
      <w:pPr>
        <w:pStyle w:val="ListParagraph"/>
        <w:numPr>
          <w:ilvl w:val="3"/>
          <w:numId w:val="8"/>
        </w:numPr>
        <w:spacing w:after="120" w:line="240" w:lineRule="auto"/>
        <w:rPr>
          <w:rFonts w:ascii="Garamond" w:hAnsi="Garamond"/>
        </w:rPr>
      </w:pPr>
      <w:r>
        <w:rPr>
          <w:rFonts w:ascii="Garamond" w:hAnsi="Garamond"/>
        </w:rPr>
        <w:t xml:space="preserve">Wiesner et al. (2022) on mental health and self-reported offending </w:t>
      </w:r>
      <w:hyperlink r:id="rId22" w:history="1">
        <w:r w:rsidRPr="0044605E">
          <w:rPr>
            <w:rStyle w:val="Hyperlink"/>
            <w:rFonts w:ascii="Garamond" w:hAnsi="Garamond"/>
          </w:rPr>
          <w:t>https://link.springer.com/article/10.1007/s40865-022-00221-y</w:t>
        </w:r>
      </w:hyperlink>
    </w:p>
    <w:p w14:paraId="15AD7A5C" w14:textId="77777777" w:rsidR="00AC56F2" w:rsidRPr="00AC56F2" w:rsidRDefault="00AC56F2" w:rsidP="00AC56F2">
      <w:pPr>
        <w:spacing w:after="120" w:line="240" w:lineRule="auto"/>
        <w:rPr>
          <w:rFonts w:ascii="Garamond" w:hAnsi="Garamond"/>
        </w:rPr>
      </w:pPr>
    </w:p>
    <w:p w14:paraId="54DA439C" w14:textId="081C6912" w:rsidR="00AC56F2" w:rsidRPr="00D20E6D" w:rsidRDefault="00AC56F2" w:rsidP="00D20E6D">
      <w:pPr>
        <w:spacing w:after="120" w:line="240" w:lineRule="auto"/>
        <w:ind w:left="720"/>
        <w:rPr>
          <w:rFonts w:ascii="Garamond" w:hAnsi="Garamond"/>
          <w:i/>
          <w:iCs/>
        </w:rPr>
      </w:pPr>
      <w:r w:rsidRPr="009E0E15">
        <w:rPr>
          <w:rFonts w:ascii="Garamond" w:hAnsi="Garamond"/>
          <w:i/>
          <w:iCs/>
        </w:rPr>
        <w:t>On page 19, again I feel it is a bit too abstracted to get a sense of how this problem looks in empirical literature. It may be that it is difficult to recognize, but as a reader I am wondering if and when issues with temporal order have led to mixed or unexpected results in criminological research. Can the authors provide some empirical examples of this problem?</w:t>
      </w:r>
    </w:p>
    <w:p w14:paraId="5460A24B"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On page 20, I have the same comment. The authors at one point state “These issues are common in developmental studies of individuals…etc” and provide a citation, but I was left wondering about those common issues, what do they look like? Can the authors provide some concrete examples in the text alongside the discussion of the more technical issues?</w:t>
      </w:r>
    </w:p>
    <w:p w14:paraId="2E2437A6" w14:textId="2C343C3E" w:rsidR="00E5642A" w:rsidRPr="00C13E18" w:rsidRDefault="00D20E6D" w:rsidP="00D20E6D">
      <w:pPr>
        <w:spacing w:after="120" w:line="240" w:lineRule="auto"/>
        <w:rPr>
          <w:rFonts w:ascii="Garamond" w:hAnsi="Garamond"/>
          <w:color w:val="EE0000"/>
        </w:rPr>
      </w:pPr>
      <w:r>
        <w:rPr>
          <w:rFonts w:ascii="Garamond" w:hAnsi="Garamond"/>
        </w:rPr>
        <w:t>TO DO:</w:t>
      </w:r>
      <w:r w:rsidR="0061194B">
        <w:rPr>
          <w:rFonts w:ascii="Garamond" w:hAnsi="Garamond"/>
        </w:rPr>
        <w:t xml:space="preserve"> </w:t>
      </w:r>
      <w:r w:rsidR="00E5642A">
        <w:rPr>
          <w:rFonts w:ascii="Garamond" w:hAnsi="Garamond"/>
          <w:b/>
          <w:bCs/>
        </w:rPr>
        <w:t xml:space="preserve">Thiago then me. </w:t>
      </w:r>
    </w:p>
    <w:p w14:paraId="5653CEEA" w14:textId="4A2D6B84" w:rsidR="00CA343D" w:rsidRDefault="00B974E0" w:rsidP="00E5642A">
      <w:pPr>
        <w:pStyle w:val="ListParagraph"/>
        <w:numPr>
          <w:ilvl w:val="0"/>
          <w:numId w:val="8"/>
        </w:numPr>
        <w:spacing w:after="120" w:line="240" w:lineRule="auto"/>
        <w:rPr>
          <w:rFonts w:ascii="Garamond" w:hAnsi="Garamond"/>
        </w:rPr>
      </w:pPr>
      <w:r>
        <w:rPr>
          <w:rFonts w:ascii="Garamond" w:hAnsi="Garamond"/>
        </w:rPr>
        <w:t xml:space="preserve">CCL: </w:t>
      </w:r>
      <w:r w:rsidR="00CA343D">
        <w:rPr>
          <w:rFonts w:ascii="Garamond" w:hAnsi="Garamond"/>
        </w:rPr>
        <w:t>I softened this slightly as it is difficult to know how common the issue is as no one has systematically examined it (call for research!) and many studies do not provide sufficient information to fully examine the model specification.</w:t>
      </w:r>
      <w:r w:rsidR="005D1A89">
        <w:rPr>
          <w:rFonts w:ascii="Garamond" w:hAnsi="Garamond"/>
        </w:rPr>
        <w:t xml:space="preserve"> I added this at end of temporal order section.</w:t>
      </w:r>
    </w:p>
    <w:p w14:paraId="2F15E06E" w14:textId="2DF976EB" w:rsidR="00D20E6D" w:rsidRDefault="0061194B" w:rsidP="00E5642A">
      <w:pPr>
        <w:pStyle w:val="ListParagraph"/>
        <w:numPr>
          <w:ilvl w:val="0"/>
          <w:numId w:val="8"/>
        </w:numPr>
        <w:spacing w:after="120" w:line="240" w:lineRule="auto"/>
        <w:rPr>
          <w:rFonts w:ascii="Garamond" w:hAnsi="Garamond"/>
        </w:rPr>
      </w:pPr>
      <w:r w:rsidRPr="00E5642A">
        <w:rPr>
          <w:rFonts w:ascii="Garamond" w:hAnsi="Garamond"/>
        </w:rPr>
        <w:t xml:space="preserve">Find empirical examples </w:t>
      </w:r>
      <w:r w:rsidR="00076829" w:rsidRPr="00E5642A">
        <w:rPr>
          <w:rFonts w:ascii="Garamond" w:hAnsi="Garamond"/>
        </w:rPr>
        <w:t>of (a) sign flips from misspecification and (b) insufficient intertemporal variation.</w:t>
      </w:r>
      <w:r w:rsidR="00BA195A" w:rsidRPr="00E5642A">
        <w:rPr>
          <w:rFonts w:ascii="Garamond" w:hAnsi="Garamond"/>
        </w:rPr>
        <w:t xml:space="preserve"> In ideal world, we’d have some in our employment or fear/disorder areas, but might be tricky.</w:t>
      </w:r>
      <w:r w:rsidR="00E97E4C">
        <w:rPr>
          <w:rFonts w:ascii="Garamond" w:hAnsi="Garamond"/>
        </w:rPr>
        <w:t xml:space="preserve"> Easier to call out insufficient variation as it does not look like a “mistake”; be careful with sign flips.</w:t>
      </w:r>
    </w:p>
    <w:p w14:paraId="471C1532" w14:textId="01CC6844" w:rsidR="005E336A" w:rsidRDefault="005E336A" w:rsidP="005E336A">
      <w:pPr>
        <w:pStyle w:val="ListParagraph"/>
        <w:numPr>
          <w:ilvl w:val="1"/>
          <w:numId w:val="8"/>
        </w:numPr>
        <w:spacing w:after="120" w:line="240" w:lineRule="auto"/>
        <w:rPr>
          <w:rFonts w:ascii="Garamond" w:hAnsi="Garamond"/>
        </w:rPr>
      </w:pPr>
      <w:r>
        <w:rPr>
          <w:rFonts w:ascii="Garamond" w:hAnsi="Garamond"/>
        </w:rPr>
        <w:t>Look at our own work first!</w:t>
      </w:r>
    </w:p>
    <w:p w14:paraId="4E38318A" w14:textId="1728B767" w:rsidR="008670D7" w:rsidRDefault="00595C68" w:rsidP="005E336A">
      <w:pPr>
        <w:pStyle w:val="ListParagraph"/>
        <w:numPr>
          <w:ilvl w:val="1"/>
          <w:numId w:val="8"/>
        </w:numPr>
        <w:spacing w:after="120" w:line="240" w:lineRule="auto"/>
        <w:rPr>
          <w:rFonts w:ascii="Garamond" w:hAnsi="Garamond"/>
        </w:rPr>
      </w:pPr>
      <w:r>
        <w:rPr>
          <w:rFonts w:ascii="Garamond" w:hAnsi="Garamond"/>
          <w:b/>
          <w:bCs/>
        </w:rPr>
        <w:t xml:space="preserve">ADDED THIS: </w:t>
      </w:r>
      <w:r w:rsidR="008670D7">
        <w:rPr>
          <w:rFonts w:ascii="Garamond" w:hAnsi="Garamond"/>
        </w:rPr>
        <w:t>Allison’s (2022) blog post on topic (</w:t>
      </w:r>
      <w:r w:rsidR="008670D7" w:rsidRPr="008670D7">
        <w:rPr>
          <w:rFonts w:ascii="Garamond" w:hAnsi="Garamond"/>
        </w:rPr>
        <w:t>https://statisticalhorizons.com/getting-the-lags-right-a-new-solution/</w:t>
      </w:r>
      <w:r w:rsidR="008670D7">
        <w:rPr>
          <w:rFonts w:ascii="Garamond" w:hAnsi="Garamond"/>
        </w:rPr>
        <w:t>) actually calls out a life-course study for sign flips!</w:t>
      </w:r>
      <w:r w:rsidR="00F205F7">
        <w:rPr>
          <w:rFonts w:ascii="Garamond" w:hAnsi="Garamond"/>
        </w:rPr>
        <w:t xml:space="preserve">: </w:t>
      </w:r>
      <w:r w:rsidR="00F205F7" w:rsidRPr="00F205F7">
        <w:rPr>
          <w:rFonts w:ascii="Garamond" w:hAnsi="Garamond"/>
        </w:rPr>
        <w:t xml:space="preserve">Ousey, G. C., Wilcox, P., &amp; Fisher, B. S. (2011). Something </w:t>
      </w:r>
      <w:r w:rsidR="00F205F7" w:rsidRPr="00F205F7">
        <w:rPr>
          <w:rFonts w:ascii="Garamond" w:hAnsi="Garamond"/>
        </w:rPr>
        <w:lastRenderedPageBreak/>
        <w:t xml:space="preserve">old, something new: Revisiting competing hypotheses of the victimization-offending relationship among adolescents. Journal of Quantitative Criminology, 27(1), 53-84. </w:t>
      </w:r>
      <w:hyperlink r:id="rId23" w:history="1">
        <w:r w:rsidR="00A362B9" w:rsidRPr="00147E7B">
          <w:rPr>
            <w:rStyle w:val="Hyperlink"/>
            <w:rFonts w:ascii="Garamond" w:hAnsi="Garamond"/>
          </w:rPr>
          <w:t>https://doi.org/10.1007/s10940-010-9099-1</w:t>
        </w:r>
      </w:hyperlink>
      <w:r w:rsidR="00A362B9">
        <w:rPr>
          <w:rFonts w:ascii="Garamond" w:hAnsi="Garamond"/>
        </w:rPr>
        <w:t xml:space="preserve"> This is actually a nice paper to point at because it is methodologically quite thoughtful </w:t>
      </w:r>
      <w:r w:rsidR="0065208D">
        <w:rPr>
          <w:rFonts w:ascii="Garamond" w:hAnsi="Garamond"/>
        </w:rPr>
        <w:t>but makes the mistake anyway because it was not recognized at the time.</w:t>
      </w:r>
    </w:p>
    <w:p w14:paraId="64C75EED" w14:textId="1F96E1C7" w:rsidR="00C2521C" w:rsidRPr="00E5642A" w:rsidRDefault="00C2521C" w:rsidP="005E336A">
      <w:pPr>
        <w:pStyle w:val="ListParagraph"/>
        <w:numPr>
          <w:ilvl w:val="1"/>
          <w:numId w:val="8"/>
        </w:numPr>
        <w:spacing w:after="120" w:line="240" w:lineRule="auto"/>
        <w:rPr>
          <w:rFonts w:ascii="Garamond" w:hAnsi="Garamond"/>
        </w:rPr>
      </w:pPr>
      <w:r>
        <w:rPr>
          <w:rFonts w:ascii="Garamond" w:hAnsi="Garamond"/>
          <w:b/>
          <w:bCs/>
        </w:rPr>
        <w:t>What about lack of intertemporal variation?</w:t>
      </w:r>
    </w:p>
    <w:p w14:paraId="754FB1C0" w14:textId="5175A437" w:rsidR="00D20E6D" w:rsidRDefault="00D20E6D" w:rsidP="00D20E6D">
      <w:pPr>
        <w:pStyle w:val="ListParagraph"/>
        <w:numPr>
          <w:ilvl w:val="0"/>
          <w:numId w:val="8"/>
        </w:numPr>
        <w:spacing w:after="120" w:line="240" w:lineRule="auto"/>
        <w:rPr>
          <w:rFonts w:ascii="Garamond" w:hAnsi="Garamond"/>
        </w:rPr>
      </w:pPr>
      <w:r>
        <w:rPr>
          <w:rFonts w:ascii="Garamond" w:hAnsi="Garamond"/>
        </w:rPr>
        <w:t>CCL: The trick about providing empirical example</w:t>
      </w:r>
      <w:r w:rsidR="00AC0D21">
        <w:rPr>
          <w:rFonts w:ascii="Garamond" w:hAnsi="Garamond"/>
        </w:rPr>
        <w:t>s</w:t>
      </w:r>
      <w:r>
        <w:rPr>
          <w:rFonts w:ascii="Garamond" w:hAnsi="Garamond"/>
        </w:rPr>
        <w:t xml:space="preserve"> is then having to call out people’s research for probably being the result of misspecification</w:t>
      </w:r>
      <w:r w:rsidR="00AC0D21">
        <w:rPr>
          <w:rFonts w:ascii="Garamond" w:hAnsi="Garamond"/>
        </w:rPr>
        <w:t xml:space="preserve"> or other issues</w:t>
      </w:r>
      <w:r>
        <w:rPr>
          <w:rFonts w:ascii="Garamond" w:hAnsi="Garamond"/>
        </w:rPr>
        <w:t>. I’d rather avoid doing that in the present paper, so we should look for empirical papers that in some way respond to prior work with these misspecification problems. Might be hard to find but worth having a couple illustrations IMO.</w:t>
      </w:r>
      <w:r w:rsidR="005B7378">
        <w:rPr>
          <w:rFonts w:ascii="Garamond" w:hAnsi="Garamond"/>
        </w:rPr>
        <w:t xml:space="preserve"> I’ve hinted or directly called out both the sign flips and lack of temporal variation in my neighborhoods review…</w:t>
      </w:r>
    </w:p>
    <w:p w14:paraId="00515C70" w14:textId="3E9B4F31" w:rsidR="0008433F" w:rsidRDefault="0008433F" w:rsidP="00D20E6D">
      <w:pPr>
        <w:pStyle w:val="ListParagraph"/>
        <w:numPr>
          <w:ilvl w:val="0"/>
          <w:numId w:val="8"/>
        </w:numPr>
        <w:spacing w:after="120" w:line="240" w:lineRule="auto"/>
        <w:rPr>
          <w:rFonts w:ascii="Garamond" w:hAnsi="Garamond"/>
        </w:rPr>
      </w:pPr>
      <w:r>
        <w:rPr>
          <w:rFonts w:ascii="Garamond" w:hAnsi="Garamond"/>
        </w:rPr>
        <w:t>Might be pub bias toward sign flips</w:t>
      </w:r>
    </w:p>
    <w:p w14:paraId="63826D7A" w14:textId="77777777" w:rsidR="00C13E18" w:rsidRDefault="00C13E18" w:rsidP="00C13E18">
      <w:pPr>
        <w:spacing w:after="120" w:line="240" w:lineRule="auto"/>
        <w:rPr>
          <w:rFonts w:ascii="Garamond" w:hAnsi="Garamond"/>
        </w:rPr>
      </w:pPr>
    </w:p>
    <w:p w14:paraId="4A46C0F3" w14:textId="488221D7" w:rsidR="00C13E18" w:rsidRDefault="00C13E18" w:rsidP="00C13E18">
      <w:pPr>
        <w:spacing w:after="120" w:line="240" w:lineRule="auto"/>
        <w:jc w:val="both"/>
        <w:rPr>
          <w:rFonts w:ascii="Garamond" w:hAnsi="Garamond"/>
          <w:color w:val="EE0000"/>
        </w:rPr>
      </w:pPr>
      <w:r w:rsidRPr="00C13E18">
        <w:rPr>
          <w:rFonts w:ascii="Garamond" w:hAnsi="Garamond"/>
          <w:color w:val="EE0000"/>
        </w:rPr>
        <w:t xml:space="preserve">We have </w:t>
      </w:r>
      <w:r>
        <w:rPr>
          <w:rFonts w:ascii="Garamond" w:hAnsi="Garamond"/>
          <w:color w:val="EE0000"/>
        </w:rPr>
        <w:t>expanded</w:t>
      </w:r>
      <w:r w:rsidRPr="00C13E18">
        <w:rPr>
          <w:rFonts w:ascii="Garamond" w:hAnsi="Garamond"/>
          <w:color w:val="EE0000"/>
        </w:rPr>
        <w:t xml:space="preserve"> a worked illustration of the Vaisey–Miles sign-flip result in Issue 2, drawing on Ousey, Wilcox, and Fisher's (2011) study of the victimization–offending relationship. We chose this example because it provides clear evidence of how the misspecification problem manifests in published criminological work. We frame the example to emphasize that the issue reflects the limits of methodological knowledge at the time of the original study rather than researcher error.</w:t>
      </w:r>
    </w:p>
    <w:p w14:paraId="1A3F034C" w14:textId="775B9BA0" w:rsidR="00AC56F2" w:rsidRPr="00830881" w:rsidRDefault="00830881" w:rsidP="00830881">
      <w:pPr>
        <w:spacing w:after="120" w:line="240" w:lineRule="auto"/>
        <w:jc w:val="both"/>
        <w:rPr>
          <w:rFonts w:ascii="Garamond" w:hAnsi="Garamond"/>
          <w:color w:val="EE0000"/>
        </w:rPr>
      </w:pPr>
      <w:r w:rsidRPr="00830881">
        <w:rPr>
          <w:rFonts w:ascii="Garamond" w:hAnsi="Garamond"/>
          <w:color w:val="EE0000"/>
        </w:rPr>
        <w:t xml:space="preserve">For the inter-temporal variation section we have added a </w:t>
      </w:r>
      <w:r>
        <w:rPr>
          <w:rFonts w:ascii="Garamond" w:hAnsi="Garamond"/>
          <w:color w:val="EE0000"/>
        </w:rPr>
        <w:t>life-course criminology</w:t>
      </w:r>
      <w:r w:rsidRPr="00830881">
        <w:rPr>
          <w:rFonts w:ascii="Garamond" w:hAnsi="Garamond"/>
          <w:color w:val="EE0000"/>
        </w:rPr>
        <w:t xml:space="preserve"> example. Working within our employment running example, we note that the foundational within-person evidence for turning-point effects required decades of data (Sampson, Laub, and Wimer 2006), and we contrast this with register-based studies whose finer resolution reveals these processes to be gradual and even anticipatory (Skardhamar and Savolainen 2014; Skardhamar, Monsbakken, and Lyngstad 2014). We use this to show that short panels can contain too little within-person change to identify a slowly-unfolding effect.</w:t>
      </w:r>
    </w:p>
    <w:p w14:paraId="34ECAF0B" w14:textId="77777777" w:rsidR="00AC56F2" w:rsidRPr="00AC56F2" w:rsidRDefault="00AC56F2" w:rsidP="00AC56F2">
      <w:pPr>
        <w:spacing w:after="120" w:line="240" w:lineRule="auto"/>
        <w:rPr>
          <w:rFonts w:ascii="Garamond" w:hAnsi="Garamond"/>
        </w:rPr>
      </w:pPr>
    </w:p>
    <w:p w14:paraId="27697FC8" w14:textId="7E6E2B3C" w:rsidR="00AC56F2" w:rsidRPr="009E0E15" w:rsidRDefault="00AC56F2" w:rsidP="00AC56F2">
      <w:pPr>
        <w:spacing w:after="120" w:line="240" w:lineRule="auto"/>
        <w:ind w:left="720"/>
        <w:rPr>
          <w:rFonts w:ascii="Garamond" w:hAnsi="Garamond"/>
          <w:i/>
          <w:iCs/>
        </w:rPr>
      </w:pPr>
      <w:r w:rsidRPr="009E0E15">
        <w:rPr>
          <w:rFonts w:ascii="Garamond" w:hAnsi="Garamond"/>
          <w:i/>
          <w:iCs/>
        </w:rPr>
        <w:t>Overall, bringing in more examples from theory and empirical work can help ground these issues and (in my view) reach a broader audience. The first half of the paper does a good job at connecting these issues with theory and research, and so the authors should simply continue that throughout the paper.</w:t>
      </w:r>
    </w:p>
    <w:p w14:paraId="5DEB7468" w14:textId="0D494DD4" w:rsidR="009A1D17" w:rsidRDefault="007F3F11" w:rsidP="00CE0279">
      <w:pPr>
        <w:spacing w:after="120" w:line="240" w:lineRule="auto"/>
        <w:rPr>
          <w:rFonts w:ascii="Garamond" w:hAnsi="Garamond"/>
        </w:rPr>
      </w:pPr>
      <w:r>
        <w:rPr>
          <w:rFonts w:ascii="Garamond" w:hAnsi="Garamond"/>
        </w:rPr>
        <w:t>We agree completely with this general thrust of these comments</w:t>
      </w:r>
      <w:r w:rsidR="00440D51">
        <w:rPr>
          <w:rFonts w:ascii="Garamond" w:hAnsi="Garamond"/>
        </w:rPr>
        <w:t xml:space="preserve"> and agree </w:t>
      </w:r>
      <w:r w:rsidR="00D509CA">
        <w:rPr>
          <w:rFonts w:ascii="Garamond" w:hAnsi="Garamond"/>
        </w:rPr>
        <w:t>that</w:t>
      </w:r>
      <w:r w:rsidR="00604745">
        <w:rPr>
          <w:rFonts w:ascii="Garamond" w:hAnsi="Garamond"/>
        </w:rPr>
        <w:t xml:space="preserve"> grounding the back end of the paper will make it connect better with our intended audience.</w:t>
      </w:r>
    </w:p>
    <w:p w14:paraId="611BC227" w14:textId="77777777" w:rsidR="00AC56F2" w:rsidRDefault="00AC56F2" w:rsidP="00CE0279">
      <w:pPr>
        <w:spacing w:after="120" w:line="240" w:lineRule="auto"/>
        <w:rPr>
          <w:rFonts w:ascii="Garamond" w:hAnsi="Garamond"/>
        </w:rPr>
      </w:pPr>
    </w:p>
    <w:p w14:paraId="35E6B0C2" w14:textId="77777777" w:rsidR="00AC56F2" w:rsidRDefault="00AC56F2" w:rsidP="00CE0279">
      <w:pPr>
        <w:spacing w:after="120" w:line="240" w:lineRule="auto"/>
        <w:rPr>
          <w:rFonts w:ascii="Garamond" w:hAnsi="Garamond"/>
        </w:rPr>
      </w:pPr>
    </w:p>
    <w:p w14:paraId="11D4F0E4" w14:textId="1E6E81BC" w:rsidR="007B18EB" w:rsidRDefault="007B18EB" w:rsidP="00CE0279">
      <w:pPr>
        <w:spacing w:after="120" w:line="240" w:lineRule="auto"/>
        <w:rPr>
          <w:rFonts w:ascii="Garamond" w:hAnsi="Garamond"/>
        </w:rPr>
      </w:pPr>
      <w:r>
        <w:rPr>
          <w:rFonts w:ascii="Garamond" w:hAnsi="Garamond"/>
        </w:rPr>
        <w:t>We hope you find these revisions to be a suitable response to the recommendations above.</w:t>
      </w:r>
    </w:p>
    <w:p w14:paraId="7BC7BFCF" w14:textId="77777777" w:rsidR="00FE445F" w:rsidRDefault="00FE445F" w:rsidP="00CE0279">
      <w:pPr>
        <w:rPr>
          <w:rFonts w:ascii="Garamond" w:hAnsi="Garamond"/>
        </w:rPr>
      </w:pPr>
    </w:p>
    <w:p w14:paraId="6AEDD46E" w14:textId="22FDC052" w:rsidR="00CE0279" w:rsidRPr="00084462" w:rsidRDefault="00CE0279" w:rsidP="00CE0279">
      <w:pPr>
        <w:rPr>
          <w:rFonts w:ascii="Garamond" w:hAnsi="Garamond"/>
        </w:rPr>
      </w:pPr>
      <w:r w:rsidRPr="00084462">
        <w:rPr>
          <w:rFonts w:ascii="Garamond" w:hAnsi="Garamond"/>
        </w:rPr>
        <w:t>Yours sincerely,</w:t>
      </w:r>
    </w:p>
    <w:p w14:paraId="40FB7F0A" w14:textId="1E2975A9" w:rsidR="00CE0279" w:rsidRPr="00084462" w:rsidRDefault="007B77EE" w:rsidP="00CE0279">
      <w:pPr>
        <w:rPr>
          <w:rFonts w:ascii="Garamond" w:hAnsi="Garamond"/>
        </w:rPr>
      </w:pPr>
      <w:r>
        <w:rPr>
          <w:rFonts w:ascii="Garamond" w:hAnsi="Garamond"/>
        </w:rPr>
        <w:t xml:space="preserve">Dr </w:t>
      </w:r>
      <w:r w:rsidR="00CE0279" w:rsidRPr="00084462">
        <w:rPr>
          <w:rFonts w:ascii="Garamond" w:hAnsi="Garamond"/>
        </w:rPr>
        <w:t>Charles C. Lanfear</w:t>
      </w:r>
    </w:p>
    <w:p w14:paraId="7BC67B0C" w14:textId="3C267418" w:rsidR="00896443" w:rsidRDefault="00896443" w:rsidP="00896443">
      <w:pPr>
        <w:spacing w:after="120" w:line="240" w:lineRule="auto"/>
        <w:rPr>
          <w:rFonts w:ascii="Garamond" w:hAnsi="Garamond"/>
        </w:rPr>
      </w:pPr>
    </w:p>
    <w:sectPr w:rsidR="00896443" w:rsidSect="002155F6">
      <w:footerReference w:type="default" r:id="rId24"/>
      <w:pgSz w:w="11907" w:h="16840" w:code="9"/>
      <w:pgMar w:top="1276" w:right="1276" w:bottom="1276" w:left="1276"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arles Lanfear" w:date="2026-05-20T11:04:00Z" w:initials="CL">
    <w:p w14:paraId="7D9F1DBD" w14:textId="77777777" w:rsidR="0046763E" w:rsidRDefault="0046763E" w:rsidP="0046763E">
      <w:pPr>
        <w:pStyle w:val="CommentText"/>
      </w:pPr>
      <w:r>
        <w:rPr>
          <w:rStyle w:val="CommentReference"/>
        </w:rPr>
        <w:annotationRef/>
      </w:r>
      <w:r>
        <w:t>Musings and notes I’m appending with my initials while actual TO DO items will just be bullet entries without initials.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9F1D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F64A77" w16cex:dateUtc="2026-05-20T1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9F1DBD" w16cid:durableId="0DF64A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E1086" w14:textId="77777777" w:rsidR="00A013D7" w:rsidRDefault="00A013D7" w:rsidP="00084462">
      <w:pPr>
        <w:spacing w:after="0" w:line="240" w:lineRule="auto"/>
      </w:pPr>
      <w:r>
        <w:separator/>
      </w:r>
    </w:p>
  </w:endnote>
  <w:endnote w:type="continuationSeparator" w:id="0">
    <w:p w14:paraId="5649B552" w14:textId="77777777" w:rsidR="00A013D7" w:rsidRDefault="00A013D7" w:rsidP="000844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512AC" w14:textId="7F018143"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Sidgwick Avenue</w:t>
    </w:r>
  </w:p>
  <w:p w14:paraId="56CA0323" w14:textId="77777777" w:rsidR="00084462" w:rsidRPr="00084462" w:rsidRDefault="00084462" w:rsidP="00084462">
    <w:pPr>
      <w:pStyle w:val="Footer"/>
      <w:tabs>
        <w:tab w:val="left" w:pos="6521"/>
      </w:tabs>
      <w:ind w:right="-426"/>
      <w:jc w:val="right"/>
      <w:rPr>
        <w:rFonts w:ascii="Garamond" w:hAnsi="Garamond" w:cs="Arial"/>
        <w:color w:val="000000"/>
        <w:szCs w:val="24"/>
        <w:lang w:val="en-GB" w:eastAsia="en-GB"/>
      </w:rPr>
    </w:pPr>
    <w:r w:rsidRPr="00084462">
      <w:rPr>
        <w:rFonts w:ascii="Garamond" w:hAnsi="Garamond" w:cs="Arial"/>
        <w:sz w:val="16"/>
      </w:rPr>
      <w:t>Cambridge, CB3 9DA</w:t>
    </w:r>
  </w:p>
  <w:p w14:paraId="1EE72777" w14:textId="77777777" w:rsidR="00084462" w:rsidRPr="00084462" w:rsidRDefault="00084462" w:rsidP="00084462">
    <w:pPr>
      <w:pStyle w:val="Footer"/>
      <w:tabs>
        <w:tab w:val="left" w:pos="6521"/>
      </w:tabs>
      <w:ind w:right="-426"/>
      <w:jc w:val="right"/>
      <w:rPr>
        <w:rFonts w:ascii="Garamond" w:hAnsi="Garamond" w:cs="Arial"/>
        <w:color w:val="000000"/>
        <w:sz w:val="16"/>
        <w:szCs w:val="16"/>
        <w:lang w:val="en-GB" w:eastAsia="en-GB"/>
      </w:rPr>
    </w:pPr>
    <w:r w:rsidRPr="00084462">
      <w:rPr>
        <w:rFonts w:ascii="Garamond" w:hAnsi="Garamond" w:cs="Arial"/>
        <w:color w:val="000000"/>
        <w:szCs w:val="24"/>
        <w:lang w:val="en-GB" w:eastAsia="en-GB"/>
      </w:rPr>
      <w:t xml:space="preserve"> </w:t>
    </w:r>
    <w:r w:rsidRPr="00084462">
      <w:rPr>
        <w:rFonts w:ascii="Garamond" w:hAnsi="Garamond" w:cs="Arial"/>
        <w:color w:val="000000"/>
        <w:sz w:val="16"/>
        <w:szCs w:val="16"/>
        <w:lang w:val="en-GB" w:eastAsia="en-GB"/>
      </w:rPr>
      <w:t xml:space="preserve">Tel: 07463 498382 </w:t>
    </w:r>
  </w:p>
  <w:p w14:paraId="24E1BA3A" w14:textId="77777777"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Email: cl948@cam.ac.uk</w:t>
    </w:r>
  </w:p>
  <w:p w14:paraId="60764779" w14:textId="73AF1710"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clanfear.github.io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F302F" w14:textId="77777777" w:rsidR="00A013D7" w:rsidRDefault="00A013D7" w:rsidP="00084462">
      <w:pPr>
        <w:spacing w:after="0" w:line="240" w:lineRule="auto"/>
      </w:pPr>
      <w:r>
        <w:separator/>
      </w:r>
    </w:p>
  </w:footnote>
  <w:footnote w:type="continuationSeparator" w:id="0">
    <w:p w14:paraId="537AA902" w14:textId="77777777" w:rsidR="00A013D7" w:rsidRDefault="00A013D7" w:rsidP="000844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3192"/>
    <w:multiLevelType w:val="hybridMultilevel"/>
    <w:tmpl w:val="CBB69062"/>
    <w:lvl w:ilvl="0" w:tplc="434C4A32">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4B243D"/>
    <w:multiLevelType w:val="hybridMultilevel"/>
    <w:tmpl w:val="7C9C147E"/>
    <w:lvl w:ilvl="0" w:tplc="344CA5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5C11BA"/>
    <w:multiLevelType w:val="hybridMultilevel"/>
    <w:tmpl w:val="3142FCCE"/>
    <w:lvl w:ilvl="0" w:tplc="8CA067BC">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AB1712"/>
    <w:multiLevelType w:val="hybridMultilevel"/>
    <w:tmpl w:val="51323EEC"/>
    <w:lvl w:ilvl="0" w:tplc="E53275D0">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FE11BE"/>
    <w:multiLevelType w:val="hybridMultilevel"/>
    <w:tmpl w:val="02967184"/>
    <w:lvl w:ilvl="0" w:tplc="43242E34">
      <w:start w:val="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216A0A"/>
    <w:multiLevelType w:val="hybridMultilevel"/>
    <w:tmpl w:val="49189242"/>
    <w:lvl w:ilvl="0" w:tplc="79EE0BD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D26223"/>
    <w:multiLevelType w:val="hybridMultilevel"/>
    <w:tmpl w:val="C73604F8"/>
    <w:lvl w:ilvl="0" w:tplc="94CE3D3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A777D5"/>
    <w:multiLevelType w:val="hybridMultilevel"/>
    <w:tmpl w:val="740663D8"/>
    <w:lvl w:ilvl="0" w:tplc="4CC8F4D6">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4389852">
    <w:abstractNumId w:val="4"/>
  </w:num>
  <w:num w:numId="2" w16cid:durableId="1679967844">
    <w:abstractNumId w:val="0"/>
  </w:num>
  <w:num w:numId="3" w16cid:durableId="1501386381">
    <w:abstractNumId w:val="7"/>
  </w:num>
  <w:num w:numId="4" w16cid:durableId="301467420">
    <w:abstractNumId w:val="3"/>
  </w:num>
  <w:num w:numId="5" w16cid:durableId="1091076062">
    <w:abstractNumId w:val="2"/>
  </w:num>
  <w:num w:numId="6" w16cid:durableId="1822455841">
    <w:abstractNumId w:val="6"/>
  </w:num>
  <w:num w:numId="7" w16cid:durableId="2127458616">
    <w:abstractNumId w:val="5"/>
  </w:num>
  <w:num w:numId="8" w16cid:durableId="58526867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rles Lanfear">
    <w15:presenceInfo w15:providerId="Windows Live" w15:userId="090f7abe46c7f0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462"/>
    <w:rsid w:val="00034110"/>
    <w:rsid w:val="00041985"/>
    <w:rsid w:val="00047DBD"/>
    <w:rsid w:val="00052570"/>
    <w:rsid w:val="000543E8"/>
    <w:rsid w:val="00055494"/>
    <w:rsid w:val="00076198"/>
    <w:rsid w:val="00076829"/>
    <w:rsid w:val="000770C4"/>
    <w:rsid w:val="0008433F"/>
    <w:rsid w:val="00084462"/>
    <w:rsid w:val="00085998"/>
    <w:rsid w:val="000945C9"/>
    <w:rsid w:val="000A02A5"/>
    <w:rsid w:val="000A3052"/>
    <w:rsid w:val="000A32DD"/>
    <w:rsid w:val="000C6964"/>
    <w:rsid w:val="000C7195"/>
    <w:rsid w:val="000D080A"/>
    <w:rsid w:val="000D37E6"/>
    <w:rsid w:val="000E0178"/>
    <w:rsid w:val="000F516A"/>
    <w:rsid w:val="00100C1C"/>
    <w:rsid w:val="00104554"/>
    <w:rsid w:val="001225DA"/>
    <w:rsid w:val="0012329B"/>
    <w:rsid w:val="00125203"/>
    <w:rsid w:val="001364DE"/>
    <w:rsid w:val="00141C5F"/>
    <w:rsid w:val="00152A8F"/>
    <w:rsid w:val="00155B40"/>
    <w:rsid w:val="00160357"/>
    <w:rsid w:val="00160574"/>
    <w:rsid w:val="001764E2"/>
    <w:rsid w:val="0018160A"/>
    <w:rsid w:val="00195B59"/>
    <w:rsid w:val="001D0129"/>
    <w:rsid w:val="001D1495"/>
    <w:rsid w:val="001D30AF"/>
    <w:rsid w:val="001D4C2C"/>
    <w:rsid w:val="001F05CB"/>
    <w:rsid w:val="002155F6"/>
    <w:rsid w:val="002369EB"/>
    <w:rsid w:val="00237407"/>
    <w:rsid w:val="00237870"/>
    <w:rsid w:val="00240CDF"/>
    <w:rsid w:val="00253C68"/>
    <w:rsid w:val="0025714C"/>
    <w:rsid w:val="0026639C"/>
    <w:rsid w:val="0027282B"/>
    <w:rsid w:val="00273839"/>
    <w:rsid w:val="0027579C"/>
    <w:rsid w:val="00286529"/>
    <w:rsid w:val="00295982"/>
    <w:rsid w:val="0029706E"/>
    <w:rsid w:val="002A77D0"/>
    <w:rsid w:val="002B1A61"/>
    <w:rsid w:val="002B5006"/>
    <w:rsid w:val="002B7689"/>
    <w:rsid w:val="002B7BDC"/>
    <w:rsid w:val="002C054E"/>
    <w:rsid w:val="002C6DC1"/>
    <w:rsid w:val="002C75B6"/>
    <w:rsid w:val="002C7F1B"/>
    <w:rsid w:val="002E1FF7"/>
    <w:rsid w:val="002F532D"/>
    <w:rsid w:val="002F6E12"/>
    <w:rsid w:val="0032305A"/>
    <w:rsid w:val="00334C37"/>
    <w:rsid w:val="00342608"/>
    <w:rsid w:val="003461D5"/>
    <w:rsid w:val="00354704"/>
    <w:rsid w:val="00363A4A"/>
    <w:rsid w:val="00380BE1"/>
    <w:rsid w:val="0038517A"/>
    <w:rsid w:val="00393074"/>
    <w:rsid w:val="00393104"/>
    <w:rsid w:val="003959EA"/>
    <w:rsid w:val="003A04D1"/>
    <w:rsid w:val="003A1376"/>
    <w:rsid w:val="003A423D"/>
    <w:rsid w:val="003A49B9"/>
    <w:rsid w:val="003B68DA"/>
    <w:rsid w:val="003C0992"/>
    <w:rsid w:val="003C1332"/>
    <w:rsid w:val="003C4CED"/>
    <w:rsid w:val="003C6A56"/>
    <w:rsid w:val="003D0EA9"/>
    <w:rsid w:val="003D68F4"/>
    <w:rsid w:val="003D6C5B"/>
    <w:rsid w:val="003E4834"/>
    <w:rsid w:val="003E4DCA"/>
    <w:rsid w:val="004035E5"/>
    <w:rsid w:val="004106FA"/>
    <w:rsid w:val="0042250B"/>
    <w:rsid w:val="00423F66"/>
    <w:rsid w:val="00425008"/>
    <w:rsid w:val="004319C3"/>
    <w:rsid w:val="00440D51"/>
    <w:rsid w:val="004474DE"/>
    <w:rsid w:val="00447552"/>
    <w:rsid w:val="00463247"/>
    <w:rsid w:val="00466718"/>
    <w:rsid w:val="0046763E"/>
    <w:rsid w:val="0047705A"/>
    <w:rsid w:val="00484AFB"/>
    <w:rsid w:val="004910F3"/>
    <w:rsid w:val="00491BA7"/>
    <w:rsid w:val="00495CC9"/>
    <w:rsid w:val="004A13F4"/>
    <w:rsid w:val="004A6DA7"/>
    <w:rsid w:val="004B1495"/>
    <w:rsid w:val="004B38A9"/>
    <w:rsid w:val="004C26A9"/>
    <w:rsid w:val="004C3BBB"/>
    <w:rsid w:val="004D2D02"/>
    <w:rsid w:val="004D4C8A"/>
    <w:rsid w:val="004E5439"/>
    <w:rsid w:val="004F50E1"/>
    <w:rsid w:val="004F6678"/>
    <w:rsid w:val="00501438"/>
    <w:rsid w:val="00506A37"/>
    <w:rsid w:val="005205BC"/>
    <w:rsid w:val="00520B45"/>
    <w:rsid w:val="005321F3"/>
    <w:rsid w:val="005543D7"/>
    <w:rsid w:val="005574A3"/>
    <w:rsid w:val="0057328B"/>
    <w:rsid w:val="00576D44"/>
    <w:rsid w:val="0058241D"/>
    <w:rsid w:val="00584DE1"/>
    <w:rsid w:val="00585CE0"/>
    <w:rsid w:val="00595C68"/>
    <w:rsid w:val="005A0A45"/>
    <w:rsid w:val="005A285D"/>
    <w:rsid w:val="005B0B4D"/>
    <w:rsid w:val="005B7378"/>
    <w:rsid w:val="005C7D66"/>
    <w:rsid w:val="005D1A89"/>
    <w:rsid w:val="005D1CE8"/>
    <w:rsid w:val="005D2B9D"/>
    <w:rsid w:val="005E336A"/>
    <w:rsid w:val="005F586D"/>
    <w:rsid w:val="00603BD2"/>
    <w:rsid w:val="00604745"/>
    <w:rsid w:val="00611617"/>
    <w:rsid w:val="00611789"/>
    <w:rsid w:val="0061194B"/>
    <w:rsid w:val="0063197B"/>
    <w:rsid w:val="00631A09"/>
    <w:rsid w:val="00637AA3"/>
    <w:rsid w:val="00640ED3"/>
    <w:rsid w:val="0064430B"/>
    <w:rsid w:val="0065208D"/>
    <w:rsid w:val="00655AAC"/>
    <w:rsid w:val="00660065"/>
    <w:rsid w:val="006631A3"/>
    <w:rsid w:val="006749E8"/>
    <w:rsid w:val="00680182"/>
    <w:rsid w:val="00690C4F"/>
    <w:rsid w:val="00694049"/>
    <w:rsid w:val="00694186"/>
    <w:rsid w:val="006A6D13"/>
    <w:rsid w:val="006B0C78"/>
    <w:rsid w:val="006D0EA9"/>
    <w:rsid w:val="006D1ACF"/>
    <w:rsid w:val="006F7754"/>
    <w:rsid w:val="0070138A"/>
    <w:rsid w:val="007112CF"/>
    <w:rsid w:val="007230AF"/>
    <w:rsid w:val="007518B3"/>
    <w:rsid w:val="00751F93"/>
    <w:rsid w:val="00754B28"/>
    <w:rsid w:val="00756D58"/>
    <w:rsid w:val="007613FE"/>
    <w:rsid w:val="0076191C"/>
    <w:rsid w:val="00762B1B"/>
    <w:rsid w:val="00773351"/>
    <w:rsid w:val="00774553"/>
    <w:rsid w:val="00774B73"/>
    <w:rsid w:val="007A2ED2"/>
    <w:rsid w:val="007A479B"/>
    <w:rsid w:val="007B04A3"/>
    <w:rsid w:val="007B18EB"/>
    <w:rsid w:val="007B77EE"/>
    <w:rsid w:val="007D2B6A"/>
    <w:rsid w:val="007D5A6F"/>
    <w:rsid w:val="007E254D"/>
    <w:rsid w:val="007E3213"/>
    <w:rsid w:val="007F1884"/>
    <w:rsid w:val="007F18F4"/>
    <w:rsid w:val="007F24A3"/>
    <w:rsid w:val="007F3F11"/>
    <w:rsid w:val="00806499"/>
    <w:rsid w:val="00821285"/>
    <w:rsid w:val="0082689B"/>
    <w:rsid w:val="008268F3"/>
    <w:rsid w:val="00830881"/>
    <w:rsid w:val="00845E3A"/>
    <w:rsid w:val="00861620"/>
    <w:rsid w:val="00864F6E"/>
    <w:rsid w:val="008670D7"/>
    <w:rsid w:val="00872975"/>
    <w:rsid w:val="00875BC4"/>
    <w:rsid w:val="00877157"/>
    <w:rsid w:val="008844C4"/>
    <w:rsid w:val="00893AB2"/>
    <w:rsid w:val="00896443"/>
    <w:rsid w:val="00896D02"/>
    <w:rsid w:val="008A2E9C"/>
    <w:rsid w:val="008A42DA"/>
    <w:rsid w:val="008B1601"/>
    <w:rsid w:val="008B1BB6"/>
    <w:rsid w:val="008C2760"/>
    <w:rsid w:val="008C696F"/>
    <w:rsid w:val="008C7D21"/>
    <w:rsid w:val="008D1C0A"/>
    <w:rsid w:val="008D3A0B"/>
    <w:rsid w:val="008E1241"/>
    <w:rsid w:val="00903CD4"/>
    <w:rsid w:val="00904767"/>
    <w:rsid w:val="00915CDF"/>
    <w:rsid w:val="00915D56"/>
    <w:rsid w:val="00922576"/>
    <w:rsid w:val="00934975"/>
    <w:rsid w:val="00945C38"/>
    <w:rsid w:val="0095040E"/>
    <w:rsid w:val="00951553"/>
    <w:rsid w:val="00954C31"/>
    <w:rsid w:val="00964608"/>
    <w:rsid w:val="009770C6"/>
    <w:rsid w:val="0099192C"/>
    <w:rsid w:val="009A1D17"/>
    <w:rsid w:val="009A789C"/>
    <w:rsid w:val="009B50A3"/>
    <w:rsid w:val="009B5BE7"/>
    <w:rsid w:val="009C2CF4"/>
    <w:rsid w:val="009D1FD6"/>
    <w:rsid w:val="009D207C"/>
    <w:rsid w:val="009D5F8A"/>
    <w:rsid w:val="009E0E15"/>
    <w:rsid w:val="009E7605"/>
    <w:rsid w:val="009E7826"/>
    <w:rsid w:val="009F2BC5"/>
    <w:rsid w:val="00A013D7"/>
    <w:rsid w:val="00A0164C"/>
    <w:rsid w:val="00A0719C"/>
    <w:rsid w:val="00A12B73"/>
    <w:rsid w:val="00A141DB"/>
    <w:rsid w:val="00A24493"/>
    <w:rsid w:val="00A3213F"/>
    <w:rsid w:val="00A32C24"/>
    <w:rsid w:val="00A332F6"/>
    <w:rsid w:val="00A362B9"/>
    <w:rsid w:val="00A453E3"/>
    <w:rsid w:val="00A46A19"/>
    <w:rsid w:val="00A47FCE"/>
    <w:rsid w:val="00A560B8"/>
    <w:rsid w:val="00A6026D"/>
    <w:rsid w:val="00A60B1B"/>
    <w:rsid w:val="00A62AA8"/>
    <w:rsid w:val="00A65F32"/>
    <w:rsid w:val="00A66D24"/>
    <w:rsid w:val="00A75D98"/>
    <w:rsid w:val="00A803C2"/>
    <w:rsid w:val="00A859B3"/>
    <w:rsid w:val="00A9289C"/>
    <w:rsid w:val="00AA1649"/>
    <w:rsid w:val="00AA68A6"/>
    <w:rsid w:val="00AB02C1"/>
    <w:rsid w:val="00AB0DBC"/>
    <w:rsid w:val="00AC0D21"/>
    <w:rsid w:val="00AC56F2"/>
    <w:rsid w:val="00AC67E1"/>
    <w:rsid w:val="00AD7CEF"/>
    <w:rsid w:val="00AE0D19"/>
    <w:rsid w:val="00B00E43"/>
    <w:rsid w:val="00B155E2"/>
    <w:rsid w:val="00B1694C"/>
    <w:rsid w:val="00B27AA7"/>
    <w:rsid w:val="00B37A1E"/>
    <w:rsid w:val="00B4445E"/>
    <w:rsid w:val="00B450D8"/>
    <w:rsid w:val="00B56A66"/>
    <w:rsid w:val="00B71564"/>
    <w:rsid w:val="00B776D7"/>
    <w:rsid w:val="00B811D8"/>
    <w:rsid w:val="00B82DF4"/>
    <w:rsid w:val="00B906A3"/>
    <w:rsid w:val="00B92D20"/>
    <w:rsid w:val="00B974E0"/>
    <w:rsid w:val="00BA05B3"/>
    <w:rsid w:val="00BA0F84"/>
    <w:rsid w:val="00BA195A"/>
    <w:rsid w:val="00BB073A"/>
    <w:rsid w:val="00BB3997"/>
    <w:rsid w:val="00BE4EFA"/>
    <w:rsid w:val="00BF19B5"/>
    <w:rsid w:val="00BF6DBF"/>
    <w:rsid w:val="00BF704B"/>
    <w:rsid w:val="00BF7522"/>
    <w:rsid w:val="00C015BC"/>
    <w:rsid w:val="00C13E18"/>
    <w:rsid w:val="00C15597"/>
    <w:rsid w:val="00C2521C"/>
    <w:rsid w:val="00C3325D"/>
    <w:rsid w:val="00C54370"/>
    <w:rsid w:val="00C65AAF"/>
    <w:rsid w:val="00C74BF1"/>
    <w:rsid w:val="00C76861"/>
    <w:rsid w:val="00C85322"/>
    <w:rsid w:val="00CA07C9"/>
    <w:rsid w:val="00CA343D"/>
    <w:rsid w:val="00CA4E1D"/>
    <w:rsid w:val="00CB0AB8"/>
    <w:rsid w:val="00CC7ED4"/>
    <w:rsid w:val="00CE0279"/>
    <w:rsid w:val="00CE19DD"/>
    <w:rsid w:val="00CE46A0"/>
    <w:rsid w:val="00CE4BC5"/>
    <w:rsid w:val="00CE7111"/>
    <w:rsid w:val="00CE7A2A"/>
    <w:rsid w:val="00D006FB"/>
    <w:rsid w:val="00D16330"/>
    <w:rsid w:val="00D20E6D"/>
    <w:rsid w:val="00D2354D"/>
    <w:rsid w:val="00D25264"/>
    <w:rsid w:val="00D36EF9"/>
    <w:rsid w:val="00D4776C"/>
    <w:rsid w:val="00D509CA"/>
    <w:rsid w:val="00D530F5"/>
    <w:rsid w:val="00D76385"/>
    <w:rsid w:val="00D7717F"/>
    <w:rsid w:val="00D853D8"/>
    <w:rsid w:val="00D86EDC"/>
    <w:rsid w:val="00D90A81"/>
    <w:rsid w:val="00D92CD7"/>
    <w:rsid w:val="00D94389"/>
    <w:rsid w:val="00D94A80"/>
    <w:rsid w:val="00D9684D"/>
    <w:rsid w:val="00DA5841"/>
    <w:rsid w:val="00DA5B89"/>
    <w:rsid w:val="00DB4166"/>
    <w:rsid w:val="00DB4F02"/>
    <w:rsid w:val="00DC5617"/>
    <w:rsid w:val="00DD0687"/>
    <w:rsid w:val="00DD59E5"/>
    <w:rsid w:val="00DE0802"/>
    <w:rsid w:val="00DF6202"/>
    <w:rsid w:val="00E012EB"/>
    <w:rsid w:val="00E0302A"/>
    <w:rsid w:val="00E16797"/>
    <w:rsid w:val="00E3704A"/>
    <w:rsid w:val="00E379A7"/>
    <w:rsid w:val="00E41DAA"/>
    <w:rsid w:val="00E5642A"/>
    <w:rsid w:val="00E6359A"/>
    <w:rsid w:val="00E652B8"/>
    <w:rsid w:val="00E672F5"/>
    <w:rsid w:val="00E92DAA"/>
    <w:rsid w:val="00E97E4C"/>
    <w:rsid w:val="00EA1AD3"/>
    <w:rsid w:val="00EA3F75"/>
    <w:rsid w:val="00EB096A"/>
    <w:rsid w:val="00EB5DD1"/>
    <w:rsid w:val="00EB72EF"/>
    <w:rsid w:val="00EC351B"/>
    <w:rsid w:val="00ED174F"/>
    <w:rsid w:val="00ED7227"/>
    <w:rsid w:val="00EE6379"/>
    <w:rsid w:val="00EF70E6"/>
    <w:rsid w:val="00EF7A00"/>
    <w:rsid w:val="00F015BD"/>
    <w:rsid w:val="00F01C17"/>
    <w:rsid w:val="00F036AA"/>
    <w:rsid w:val="00F110A0"/>
    <w:rsid w:val="00F174E8"/>
    <w:rsid w:val="00F205F7"/>
    <w:rsid w:val="00F21415"/>
    <w:rsid w:val="00F30767"/>
    <w:rsid w:val="00F32E1B"/>
    <w:rsid w:val="00F335D8"/>
    <w:rsid w:val="00F33FCA"/>
    <w:rsid w:val="00F34506"/>
    <w:rsid w:val="00F36262"/>
    <w:rsid w:val="00F53C49"/>
    <w:rsid w:val="00F61F0C"/>
    <w:rsid w:val="00F64500"/>
    <w:rsid w:val="00F676DE"/>
    <w:rsid w:val="00F742EB"/>
    <w:rsid w:val="00F76A3C"/>
    <w:rsid w:val="00F7744D"/>
    <w:rsid w:val="00F87D62"/>
    <w:rsid w:val="00F92D3E"/>
    <w:rsid w:val="00FA0931"/>
    <w:rsid w:val="00FB1583"/>
    <w:rsid w:val="00FD24C8"/>
    <w:rsid w:val="00FE1473"/>
    <w:rsid w:val="00FE1BDB"/>
    <w:rsid w:val="00FE3746"/>
    <w:rsid w:val="00FE445F"/>
    <w:rsid w:val="00FF6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0DAC1"/>
  <w15:docId w15:val="{A59D77FB-2EC4-45AE-B01C-91937D929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F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ubleSpaced">
    <w:name w:val="Double Spaced"/>
    <w:basedOn w:val="Normal"/>
    <w:link w:val="DoubleSpacedChar"/>
    <w:qFormat/>
    <w:rsid w:val="009D1FD6"/>
    <w:pPr>
      <w:spacing w:after="0" w:line="480" w:lineRule="auto"/>
      <w:ind w:firstLine="720"/>
    </w:pPr>
    <w:rPr>
      <w:rFonts w:ascii="Times New Roman" w:hAnsi="Times New Roman" w:cs="Times New Roman"/>
      <w:sz w:val="24"/>
      <w:szCs w:val="24"/>
    </w:rPr>
  </w:style>
  <w:style w:type="character" w:customStyle="1" w:styleId="DoubleSpacedChar">
    <w:name w:val="Double Spaced Char"/>
    <w:basedOn w:val="DefaultParagraphFont"/>
    <w:link w:val="DoubleSpaced"/>
    <w:rsid w:val="009D1FD6"/>
    <w:rPr>
      <w:rFonts w:ascii="Times New Roman" w:hAnsi="Times New Roman" w:cs="Times New Roman"/>
      <w:sz w:val="24"/>
      <w:szCs w:val="24"/>
    </w:rPr>
  </w:style>
  <w:style w:type="paragraph" w:customStyle="1" w:styleId="FIGURE">
    <w:name w:val="FIGURE"/>
    <w:basedOn w:val="Normal"/>
    <w:link w:val="FIGUREChar"/>
    <w:qFormat/>
    <w:rsid w:val="009D1FD6"/>
    <w:pPr>
      <w:spacing w:before="140" w:line="360" w:lineRule="auto"/>
      <w:jc w:val="center"/>
      <w:outlineLvl w:val="2"/>
    </w:pPr>
    <w:rPr>
      <w:rFonts w:ascii="Times New Roman" w:hAnsi="Times New Roman" w:cs="Times New Roman"/>
      <w:i/>
      <w:sz w:val="24"/>
      <w:szCs w:val="24"/>
    </w:rPr>
  </w:style>
  <w:style w:type="character" w:customStyle="1" w:styleId="FIGUREChar">
    <w:name w:val="FIGURE Char"/>
    <w:basedOn w:val="DefaultParagraphFont"/>
    <w:link w:val="FIGURE"/>
    <w:rsid w:val="009D1FD6"/>
    <w:rPr>
      <w:rFonts w:ascii="Times New Roman" w:hAnsi="Times New Roman" w:cs="Times New Roman"/>
      <w:i/>
      <w:sz w:val="24"/>
      <w:szCs w:val="24"/>
    </w:rPr>
  </w:style>
  <w:style w:type="paragraph" w:customStyle="1" w:styleId="HEADER1">
    <w:name w:val="HEADER1"/>
    <w:basedOn w:val="Normal"/>
    <w:next w:val="DoubleSpaced"/>
    <w:link w:val="HEADER1Char"/>
    <w:qFormat/>
    <w:rsid w:val="009D1FD6"/>
    <w:pPr>
      <w:spacing w:before="140" w:after="0" w:line="480" w:lineRule="auto"/>
      <w:outlineLvl w:val="0"/>
    </w:pPr>
    <w:rPr>
      <w:rFonts w:ascii="Times New Roman" w:hAnsi="Times New Roman" w:cs="Times New Roman"/>
      <w:i/>
      <w:sz w:val="24"/>
      <w:szCs w:val="24"/>
    </w:rPr>
  </w:style>
  <w:style w:type="character" w:customStyle="1" w:styleId="HEADER1Char">
    <w:name w:val="HEADER1 Char"/>
    <w:basedOn w:val="DefaultParagraphFont"/>
    <w:link w:val="HEADER1"/>
    <w:rsid w:val="009D1FD6"/>
    <w:rPr>
      <w:rFonts w:ascii="Times New Roman" w:hAnsi="Times New Roman" w:cs="Times New Roman"/>
      <w:i/>
      <w:sz w:val="24"/>
      <w:szCs w:val="24"/>
    </w:rPr>
  </w:style>
  <w:style w:type="paragraph" w:customStyle="1" w:styleId="HEADER2">
    <w:name w:val="HEADER2"/>
    <w:basedOn w:val="HEADER1"/>
    <w:qFormat/>
    <w:rsid w:val="009D1FD6"/>
    <w:pPr>
      <w:ind w:firstLine="720"/>
      <w:outlineLvl w:val="1"/>
    </w:pPr>
  </w:style>
  <w:style w:type="paragraph" w:customStyle="1" w:styleId="HEADER3">
    <w:name w:val="HEADER3"/>
    <w:basedOn w:val="HEADER2"/>
    <w:qFormat/>
    <w:rsid w:val="009D1FD6"/>
    <w:pPr>
      <w:outlineLvl w:val="2"/>
    </w:pPr>
  </w:style>
  <w:style w:type="paragraph" w:styleId="Header">
    <w:name w:val="header"/>
    <w:basedOn w:val="Normal"/>
    <w:link w:val="HeaderChar"/>
    <w:uiPriority w:val="99"/>
    <w:unhideWhenUsed/>
    <w:rsid w:val="000844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4462"/>
  </w:style>
  <w:style w:type="paragraph" w:styleId="Footer">
    <w:name w:val="footer"/>
    <w:basedOn w:val="Normal"/>
    <w:link w:val="FooterChar"/>
    <w:uiPriority w:val="99"/>
    <w:unhideWhenUsed/>
    <w:rsid w:val="000844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4462"/>
  </w:style>
  <w:style w:type="table" w:styleId="TableGrid">
    <w:name w:val="Table Grid"/>
    <w:basedOn w:val="TableNormal"/>
    <w:uiPriority w:val="39"/>
    <w:rsid w:val="000844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40CDF"/>
    <w:pPr>
      <w:ind w:left="720"/>
      <w:contextualSpacing/>
    </w:pPr>
  </w:style>
  <w:style w:type="character" w:styleId="CommentReference">
    <w:name w:val="annotation reference"/>
    <w:basedOn w:val="DefaultParagraphFont"/>
    <w:uiPriority w:val="99"/>
    <w:semiHidden/>
    <w:unhideWhenUsed/>
    <w:rsid w:val="00611617"/>
    <w:rPr>
      <w:sz w:val="16"/>
      <w:szCs w:val="16"/>
    </w:rPr>
  </w:style>
  <w:style w:type="paragraph" w:styleId="CommentText">
    <w:name w:val="annotation text"/>
    <w:basedOn w:val="Normal"/>
    <w:link w:val="CommentTextChar"/>
    <w:uiPriority w:val="99"/>
    <w:unhideWhenUsed/>
    <w:rsid w:val="00611617"/>
    <w:pPr>
      <w:spacing w:line="240" w:lineRule="auto"/>
    </w:pPr>
    <w:rPr>
      <w:sz w:val="20"/>
      <w:szCs w:val="20"/>
    </w:rPr>
  </w:style>
  <w:style w:type="character" w:customStyle="1" w:styleId="CommentTextChar">
    <w:name w:val="Comment Text Char"/>
    <w:basedOn w:val="DefaultParagraphFont"/>
    <w:link w:val="CommentText"/>
    <w:uiPriority w:val="99"/>
    <w:rsid w:val="00611617"/>
    <w:rPr>
      <w:sz w:val="20"/>
      <w:szCs w:val="20"/>
    </w:rPr>
  </w:style>
  <w:style w:type="paragraph" w:styleId="CommentSubject">
    <w:name w:val="annotation subject"/>
    <w:basedOn w:val="CommentText"/>
    <w:next w:val="CommentText"/>
    <w:link w:val="CommentSubjectChar"/>
    <w:uiPriority w:val="99"/>
    <w:semiHidden/>
    <w:unhideWhenUsed/>
    <w:rsid w:val="00611617"/>
    <w:rPr>
      <w:b/>
      <w:bCs/>
    </w:rPr>
  </w:style>
  <w:style w:type="character" w:customStyle="1" w:styleId="CommentSubjectChar">
    <w:name w:val="Comment Subject Char"/>
    <w:basedOn w:val="CommentTextChar"/>
    <w:link w:val="CommentSubject"/>
    <w:uiPriority w:val="99"/>
    <w:semiHidden/>
    <w:rsid w:val="00611617"/>
    <w:rPr>
      <w:b/>
      <w:bCs/>
      <w:sz w:val="20"/>
      <w:szCs w:val="20"/>
    </w:rPr>
  </w:style>
  <w:style w:type="paragraph" w:styleId="Revision">
    <w:name w:val="Revision"/>
    <w:hidden/>
    <w:uiPriority w:val="99"/>
    <w:semiHidden/>
    <w:rsid w:val="00125203"/>
    <w:pPr>
      <w:spacing w:after="0" w:line="240" w:lineRule="auto"/>
    </w:pPr>
  </w:style>
  <w:style w:type="character" w:styleId="Hyperlink">
    <w:name w:val="Hyperlink"/>
    <w:basedOn w:val="DefaultParagraphFont"/>
    <w:uiPriority w:val="99"/>
    <w:unhideWhenUsed/>
    <w:rsid w:val="00D006FB"/>
    <w:rPr>
      <w:color w:val="0563C1" w:themeColor="hyperlink"/>
      <w:u w:val="single"/>
    </w:rPr>
  </w:style>
  <w:style w:type="character" w:styleId="UnresolvedMention">
    <w:name w:val="Unresolved Mention"/>
    <w:basedOn w:val="DefaultParagraphFont"/>
    <w:uiPriority w:val="99"/>
    <w:semiHidden/>
    <w:unhideWhenUsed/>
    <w:rsid w:val="00D006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yperlink" Target="https://doi.org/10.1111/jomf.13029"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link.springer.com/article/10.1007/s40865-026-00298-9" TargetMode="Externa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profiles.utdallas.edu/yjlee"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i.org/10.1086/449290" TargetMode="External"/><Relationship Id="rId20" Type="http://schemas.openxmlformats.org/officeDocument/2006/relationships/hyperlink" Target="https://link.springer.com/article/10.1007/s40865-018-0102-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hyperlink" Target="https://doi.org/10.1007/s10940-010-9099-1" TargetMode="External"/><Relationship Id="rId10" Type="http://schemas.openxmlformats.org/officeDocument/2006/relationships/endnotes" Target="endnotes.xml"/><Relationship Id="rId19" Type="http://schemas.openxmlformats.org/officeDocument/2006/relationships/hyperlink" Target="https://www.tandfonline.com/doi/full/10.1080/00273171.2024.242822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yperlink" Target="https://link.springer.com/article/10.1007/s40865-022-00221-y"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575893f-6266-403c-8794-47236f1576a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E7EE148FAE2AC4CBD31B2D462F9CF30" ma:contentTypeVersion="14" ma:contentTypeDescription="Create a new document." ma:contentTypeScope="" ma:versionID="32d02fd5b333fa434f34bde1bf2ec45a">
  <xsd:schema xmlns:xsd="http://www.w3.org/2001/XMLSchema" xmlns:xs="http://www.w3.org/2001/XMLSchema" xmlns:p="http://schemas.microsoft.com/office/2006/metadata/properties" xmlns:ns3="cb8608b1-2aa6-47f8-9902-9e175df42756" xmlns:ns4="a575893f-6266-403c-8794-47236f1576ac" targetNamespace="http://schemas.microsoft.com/office/2006/metadata/properties" ma:root="true" ma:fieldsID="4a2ba7284ca3bfc67ed51837d7809af4" ns3:_="" ns4:_="">
    <xsd:import namespace="cb8608b1-2aa6-47f8-9902-9e175df42756"/>
    <xsd:import namespace="a575893f-6266-403c-8794-47236f1576a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DateTaken"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608b1-2aa6-47f8-9902-9e175df4275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575893f-6266-403c-8794-47236f1576a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AE893B8-9E55-4B04-A52C-51A2186C185B}">
  <ds:schemaRefs>
    <ds:schemaRef ds:uri="http://schemas.microsoft.com/office/2006/metadata/properties"/>
    <ds:schemaRef ds:uri="http://schemas.microsoft.com/office/infopath/2007/PartnerControls"/>
    <ds:schemaRef ds:uri="a575893f-6266-403c-8794-47236f1576ac"/>
  </ds:schemaRefs>
</ds:datastoreItem>
</file>

<file path=customXml/itemProps2.xml><?xml version="1.0" encoding="utf-8"?>
<ds:datastoreItem xmlns:ds="http://schemas.openxmlformats.org/officeDocument/2006/customXml" ds:itemID="{4BD4F423-8E7E-4827-9E68-235E3B60B7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608b1-2aa6-47f8-9902-9e175df42756"/>
    <ds:schemaRef ds:uri="a575893f-6266-403c-8794-47236f1576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85354B2-C830-4292-AA51-51D9250F16E3}">
  <ds:schemaRefs>
    <ds:schemaRef ds:uri="http://schemas.openxmlformats.org/officeDocument/2006/bibliography"/>
  </ds:schemaRefs>
</ds:datastoreItem>
</file>

<file path=customXml/itemProps4.xml><?xml version="1.0" encoding="utf-8"?>
<ds:datastoreItem xmlns:ds="http://schemas.openxmlformats.org/officeDocument/2006/customXml" ds:itemID="{78175024-5DAF-4A82-9C17-26E21638936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701</TotalTime>
  <Pages>5</Pages>
  <Words>2757</Words>
  <Characters>15720</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Lanfear</dc:creator>
  <cp:keywords/>
  <dc:description/>
  <cp:lastModifiedBy>Thiago Oliveira</cp:lastModifiedBy>
  <cp:revision>216</cp:revision>
  <dcterms:created xsi:type="dcterms:W3CDTF">2024-04-16T13:23:00Z</dcterms:created>
  <dcterms:modified xsi:type="dcterms:W3CDTF">2026-05-29T15:50:00Z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0x0101008E7EE148FAE2AC4CBD31B2D462F9CF30</vt:lpwstr>
  </property>
</Properties>
</file>