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Procedimiento de cierre contable mensual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Código: </w:t>
      </w:r>
      <w:r>
        <w:rPr>
          <w:color w:val="6B7285"/>
          <w:sz w:val="18"/>
          <w:szCs w:val="18"/>
        </w:rPr>
        <w:t xml:space="preserve">PRO-FIN-001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Versión: </w:t>
      </w:r>
      <w:r>
        <w:rPr>
          <w:color w:val="6B7285"/>
          <w:sz w:val="18"/>
          <w:szCs w:val="18"/>
        </w:rPr>
        <w:t xml:space="preserve">1.6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Vigente desde: </w:t>
      </w:r>
      <w:r>
        <w:rPr>
          <w:color w:val="6B7285"/>
          <w:sz w:val="18"/>
          <w:szCs w:val="18"/>
        </w:rPr>
        <w:t xml:space="preserve">2025-11-01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Responsable: </w:t>
      </w:r>
      <w:r>
        <w:rPr>
          <w:color w:val="6B7285"/>
          <w:sz w:val="18"/>
          <w:szCs w:val="18"/>
        </w:rPr>
        <w:t xml:space="preserve">Raúl Benítez</w:t>
      </w:r>
    </w:p>
    <w:p>
      <w:pPr>
        <w:spacing w:after="0"/>
      </w:pPr>
      <w:r>
        <w:rPr>
          <w:b/>
          <w:bCs/>
          <w:color w:val="6B7285"/>
          <w:sz w:val="18"/>
          <w:szCs w:val="18"/>
        </w:rPr>
        <w:t xml:space="preserve">Clasificación: </w:t>
      </w:r>
      <w:r>
        <w:rPr>
          <w:color w:val="6B7285"/>
          <w:sz w:val="18"/>
          <w:szCs w:val="18"/>
        </w:rPr>
        <w:t xml:space="preserve">Interna</w:t>
      </w:r>
    </w:p>
    <w:p/>
    <w:p>
      <w:pPr>
        <w:pStyle w:val="Heading1"/>
      </w:pPr>
      <w:r>
        <w:t xml:space="preserve">Objetivo</w:t>
      </w:r>
    </w:p>
    <w:p>
      <w:pPr>
        <w:spacing w:after="120"/>
      </w:pPr>
      <w:r>
        <w:rPr>
          <w:b w:val="false"/>
          <w:bCs w:val="false"/>
        </w:rPr>
        <w:t xml:space="preserve">Describir las actividades, responsables y fechas límite para cerrar la contabilidad de cada mes y emitir los estados financieros de Nexora Industrial S.A.</w:t>
      </w:r>
    </w:p>
    <w:p>
      <w:pPr>
        <w:pStyle w:val="Heading1"/>
      </w:pPr>
      <w:r>
        <w:t xml:space="preserve">Calendario de cierre</w:t>
      </w:r>
    </w:p>
    <w:p>
      <w:pPr>
        <w:spacing w:after="120"/>
      </w:pPr>
      <w:r>
        <w:rPr>
          <w:b w:val="false"/>
          <w:bCs w:val="false"/>
        </w:rPr>
        <w:t xml:space="preserve">El cierre se mide en días hábiles (DH) posteriores al último día del mes.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Día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  <w:shd w:fill="F0F2F7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DH-2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Corte de recepción de facturas de proveedores del mes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Cuentas por pagar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 1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Corte de inventarios y registro de consumos de producción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Almacén y Costos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 2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Conciliaciones bancarias y registro de provisiones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Tesorería y Contabilidad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 3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Cálculo de costo de ventas y depreciaciones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Costos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 4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Revisión de variaciones contra presupuesto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Análisis financiero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 5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Emisión del estado de resultados y balance preliminares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Contador General</w:t>
            </w:r>
          </w:p>
        </w:tc>
      </w:tr>
      <w:tr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DH 7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Revisión y aprobación de la Directora de Finanzas</w:t>
            </w:r>
          </w:p>
        </w:tc>
        <w:tc>
          <w:tcPr>
            <w:tcBorders>
              <w:top w:val="single" w:color="D5D9E3" w:sz="4"/>
              <w:left w:val="single" w:color="D5D9E3" w:sz="4"/>
              <w:bottom w:val="single" w:color="D5D9E3" w:sz="4"/>
              <w:right w:val="single" w:color="D5D9E3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Directora de Finanzas</w:t>
            </w:r>
          </w:p>
        </w:tc>
      </w:tr>
    </w:tbl>
    <w:p/>
    <w:p>
      <w:pPr>
        <w:spacing w:after="120"/>
      </w:pPr>
      <w:r>
        <w:rPr>
          <w:b w:val="false"/>
          <w:bCs w:val="false"/>
        </w:rPr>
        <w:t xml:space="preserve">Los estados financieros se consideran </w:t>
      </w:r>
      <w:r>
        <w:rPr>
          <w:b/>
          <w:bCs/>
        </w:rPr>
        <w:t xml:space="preserve">definitivos</w:t>
      </w:r>
      <w:r>
        <w:rPr>
          <w:b w:val="false"/>
          <w:bCs w:val="false"/>
        </w:rPr>
        <w:t xml:space="preserve"> cuando la Directora de Finanzas los aprueba en el DH 7. Antes de esa fecha, las cifras del mes son preliminares y no deben compartirse fuera del área de Finanzas.</w:t>
      </w:r>
    </w:p>
    <w:p>
      <w:pPr>
        <w:pStyle w:val="Heading1"/>
      </w:pPr>
      <w:r>
        <w:t xml:space="preserve">Actividades principales</w:t>
      </w:r>
    </w:p>
    <w:p>
      <w:pPr>
        <w:pStyle w:val="Heading2"/>
      </w:pPr>
      <w:r>
        <w:t xml:space="preserve">Provisiones</w:t>
      </w:r>
    </w:p>
    <w:p>
      <w:pPr>
        <w:spacing w:after="120"/>
      </w:pPr>
      <w:r>
        <w:rPr>
          <w:b w:val="false"/>
          <w:bCs w:val="false"/>
        </w:rPr>
        <w:t xml:space="preserve">Se provisionan los servicios recibidos y no facturados (por ejemplo, la mensualidad del contrato de mantenimiento, energía eléctrica y fletes) con base en la mejor estimación disponible.</w:t>
      </w:r>
    </w:p>
    <w:p>
      <w:pPr>
        <w:pStyle w:val="Heading2"/>
      </w:pPr>
      <w:r>
        <w:t xml:space="preserve">Conciliaciones</w:t>
      </w:r>
    </w:p>
    <w:p>
      <w:pPr>
        <w:spacing w:after="120"/>
      </w:pPr>
      <w:r>
        <w:rPr>
          <w:b w:val="false"/>
          <w:bCs w:val="false"/>
        </w:rPr>
        <w:t xml:space="preserve">Todas las cuentas de balance se concilian cada mes. Las partidas en conciliación con más de 60 días de antigüedad se reportan a la Directora de Finanzas.</w:t>
      </w:r>
    </w:p>
    <w:p>
      <w:pPr>
        <w:pStyle w:val="Heading2"/>
      </w:pPr>
      <w:r>
        <w:t xml:space="preserve">Análisis de variaciones</w:t>
      </w:r>
    </w:p>
    <w:p>
      <w:pPr>
        <w:spacing w:after="120"/>
      </w:pPr>
      <w:r>
        <w:rPr>
          <w:b w:val="false"/>
          <w:bCs w:val="false"/>
        </w:rPr>
        <w:t xml:space="preserve">Análisis financiero compara el gasto real de cada centro de costo contra su presupuesto. Toda variación superior a </w:t>
      </w:r>
      <w:r>
        <w:rPr>
          <w:b/>
          <w:bCs/>
        </w:rPr>
        <w:t xml:space="preserve">±10%</w:t>
      </w:r>
      <w:r>
        <w:rPr>
          <w:b w:val="false"/>
          <w:bCs w:val="false"/>
        </w:rPr>
        <w:t xml:space="preserve"> en un mes o en el acumulado del trimestre debe explicarse por el responsable del centro de costo en un plazo de 3 días hábiles. Las variaciones explicadas se incluyen en el informe mensual a la Dirección.</w:t>
      </w:r>
    </w:p>
    <w:p>
      <w:pPr>
        <w:pStyle w:val="Heading1"/>
      </w:pPr>
      <w:r>
        <w:t xml:space="preserve">Informes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Informe mensual:</w:t>
      </w:r>
      <w:r>
        <w:rPr>
          <w:b w:val="false"/>
          <w:bCs w:val="false"/>
        </w:rPr>
        <w:t xml:space="preserve"> estado de resultados, flujo de efectivo y variaciones relevantes, enviado al Comité de Dirección en el DH 8.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Informe trimestral:</w:t>
      </w:r>
      <w:r>
        <w:rPr>
          <w:b w:val="false"/>
          <w:bCs w:val="false"/>
        </w:rPr>
        <w:t xml:space="preserve"> análisis del trimestre, indicadores y perspectivas, presentado al Comité de Dirección y al Consejo de Administración.</w:t>
      </w:r>
    </w:p>
    <w:p>
      <w:pPr>
        <w:pStyle w:val="Heading1"/>
      </w:pPr>
      <w:r>
        <w:t xml:space="preserve">Controles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Las pólizas contables manuales mayores a 20,000 USD requieren la aprobación del Contador General.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Ningún usuario puede registrar y aprobar la misma póliza.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</w:rPr>
        <w:t xml:space="preserve">Una vez aprobado el cierre, el periodo se bloquea en el ERP. La reapertura requiere autorización de la Directora de Finanzas.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5"/>
        <w:sz w:val="16"/>
        <w:szCs w:val="16"/>
      </w:rPr>
      <w:t xml:space="preserve">Interna · Versión 1.6 ·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B7285"/>
        <w:sz w:val="16"/>
        <w:szCs w:val="16"/>
      </w:rPr>
      <w:t xml:space="preserve">Nexora Industrial S.A. · PRO-FIN-001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 de cierre contable mensual</dc:title>
  <dc:creator>Raúl Benítez</dc:creator>
  <dc:description>PRO-FIN-001</dc:description>
  <cp:lastModifiedBy>Un-named</cp:lastModifiedBy>
  <cp:revision>1</cp:revision>
  <dcterms:created xsi:type="dcterms:W3CDTF">2026-09-30T12:00:00.000Z</dcterms:created>
  <dcterms:modified xsi:type="dcterms:W3CDTF">2026-09-30T12:00:00.000Z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