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Acta del Comité de Dirección - Sesión ordinaria de julio de 2026</w:t>
      </w:r>
    </w:p>
    <w:p>
      <w:pPr>
        <w:spacing w:after="0"/>
      </w:pPr>
      <w:r>
        <w:rPr>
          <w:b/>
          <w:bCs/>
          <w:color w:val="6B7285"/>
          <w:sz w:val="18"/>
          <w:szCs w:val="18"/>
        </w:rPr>
        <w:t xml:space="preserve">Código: </w:t>
      </w:r>
      <w:r>
        <w:rPr>
          <w:color w:val="6B7285"/>
          <w:sz w:val="18"/>
          <w:szCs w:val="18"/>
        </w:rPr>
        <w:t xml:space="preserve">ACT-DIR-2026-07</w:t>
      </w:r>
    </w:p>
    <w:p>
      <w:pPr>
        <w:spacing w:after="0"/>
      </w:pPr>
      <w:r>
        <w:rPr>
          <w:b/>
          <w:bCs/>
          <w:color w:val="6B7285"/>
          <w:sz w:val="18"/>
          <w:szCs w:val="18"/>
        </w:rPr>
        <w:t xml:space="preserve">Versión: </w:t>
      </w:r>
      <w:r>
        <w:rPr>
          <w:color w:val="6B7285"/>
          <w:sz w:val="18"/>
          <w:szCs w:val="18"/>
        </w:rPr>
        <w:t xml:space="preserve">1.0</w:t>
      </w:r>
    </w:p>
    <w:p>
      <w:pPr>
        <w:spacing w:after="0"/>
      </w:pPr>
      <w:r>
        <w:rPr>
          <w:b/>
          <w:bCs/>
          <w:color w:val="6B7285"/>
          <w:sz w:val="18"/>
          <w:szCs w:val="18"/>
        </w:rPr>
        <w:t xml:space="preserve">Vigente desde: </w:t>
      </w:r>
      <w:r>
        <w:rPr>
          <w:color w:val="6B7285"/>
          <w:sz w:val="18"/>
          <w:szCs w:val="18"/>
        </w:rPr>
        <w:t xml:space="preserve">2026-07-20</w:t>
      </w:r>
    </w:p>
    <w:p>
      <w:pPr>
        <w:spacing w:after="0"/>
      </w:pPr>
      <w:r>
        <w:rPr>
          <w:b/>
          <w:bCs/>
          <w:color w:val="6B7285"/>
          <w:sz w:val="18"/>
          <w:szCs w:val="18"/>
        </w:rPr>
        <w:t xml:space="preserve">Responsable: </w:t>
      </w:r>
      <w:r>
        <w:rPr>
          <w:color w:val="6B7285"/>
          <w:sz w:val="18"/>
          <w:szCs w:val="18"/>
        </w:rPr>
        <w:t xml:space="preserve">Luis Méndez</w:t>
      </w:r>
    </w:p>
    <w:p>
      <w:pPr>
        <w:spacing w:after="0"/>
      </w:pPr>
      <w:r>
        <w:rPr>
          <w:b/>
          <w:bCs/>
          <w:color w:val="6B7285"/>
          <w:sz w:val="18"/>
          <w:szCs w:val="18"/>
        </w:rPr>
        <w:t xml:space="preserve">Clasificación: </w:t>
      </w:r>
      <w:r>
        <w:rPr>
          <w:color w:val="6B7285"/>
          <w:sz w:val="18"/>
          <w:szCs w:val="18"/>
        </w:rPr>
        <w:t xml:space="preserve">Confidencial</w:t>
      </w:r>
    </w:p>
    <w:p/>
    <w:p>
      <w:pPr>
        <w:pStyle w:val="Heading1"/>
      </w:pPr>
      <w:r>
        <w:t xml:space="preserve">Datos de la sesión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Borders>
              <w:top w:val="single" w:color="D5D9E3" w:sz="4"/>
              <w:left w:val="single" w:color="D5D9E3" w:sz="4"/>
              <w:bottom w:val="single" w:color="D5D9E3" w:sz="4"/>
              <w:right w:val="single" w:color="D5D9E3" w:sz="4"/>
            </w:tcBorders>
            <w:shd w:fill="F0F2F7" w:color="auto" w:val="clear"/>
          </w:tcPr>
          <w:p>
            <w:r>
              <w:rPr>
                <w:b/>
                <w:bCs/>
                <w:sz w:val="18"/>
                <w:szCs w:val="18"/>
              </w:rPr>
              <w:t xml:space="preserve">Campo</w:t>
            </w:r>
          </w:p>
        </w:tc>
        <w:tc>
          <w:tcPr>
            <w:tcBorders>
              <w:top w:val="single" w:color="D5D9E3" w:sz="4"/>
              <w:left w:val="single" w:color="D5D9E3" w:sz="4"/>
              <w:bottom w:val="single" w:color="D5D9E3" w:sz="4"/>
              <w:right w:val="single" w:color="D5D9E3" w:sz="4"/>
            </w:tcBorders>
            <w:shd w:fill="F0F2F7" w:color="auto" w:val="clear"/>
          </w:tcPr>
          <w:p>
            <w:r>
              <w:rPr>
                <w:b/>
                <w:bCs/>
                <w:sz w:val="18"/>
                <w:szCs w:val="18"/>
              </w:rPr>
              <w:t xml:space="preserve">Valor</w:t>
            </w:r>
          </w:p>
        </w:tc>
      </w:tr>
      <w:tr>
        <w:tc>
          <w:tcPr>
            <w:tcBorders>
              <w:top w:val="single" w:color="D5D9E3" w:sz="4"/>
              <w:left w:val="single" w:color="D5D9E3" w:sz="4"/>
              <w:bottom w:val="single" w:color="D5D9E3" w:sz="4"/>
              <w:right w:val="single" w:color="D5D9E3" w:sz="4"/>
            </w:tcBorders>
          </w:tcPr>
          <w:p>
            <w:r>
              <w:rPr>
                <w:b w:val="false"/>
                <w:bCs w:val="false"/>
                <w:sz w:val="18"/>
                <w:szCs w:val="18"/>
              </w:rPr>
              <w:t xml:space="preserve">Fecha</w:t>
            </w:r>
          </w:p>
        </w:tc>
        <w:tc>
          <w:tcPr>
            <w:tcBorders>
              <w:top w:val="single" w:color="D5D9E3" w:sz="4"/>
              <w:left w:val="single" w:color="D5D9E3" w:sz="4"/>
              <w:bottom w:val="single" w:color="D5D9E3" w:sz="4"/>
              <w:right w:val="single" w:color="D5D9E3" w:sz="4"/>
            </w:tcBorders>
          </w:tcPr>
          <w:p>
            <w:r>
              <w:rPr>
                <w:b w:val="false"/>
                <w:bCs w:val="false"/>
                <w:sz w:val="18"/>
                <w:szCs w:val="18"/>
              </w:rPr>
              <w:t xml:space="preserve">20 de julio de 2026</w:t>
            </w:r>
          </w:p>
        </w:tc>
      </w:tr>
      <w:tr>
        <w:tc>
          <w:tcPr>
            <w:tcBorders>
              <w:top w:val="single" w:color="D5D9E3" w:sz="4"/>
              <w:left w:val="single" w:color="D5D9E3" w:sz="4"/>
              <w:bottom w:val="single" w:color="D5D9E3" w:sz="4"/>
              <w:right w:val="single" w:color="D5D9E3" w:sz="4"/>
            </w:tcBorders>
          </w:tcPr>
          <w:p>
            <w:r>
              <w:rPr>
                <w:b w:val="false"/>
                <w:bCs w:val="false"/>
                <w:sz w:val="18"/>
                <w:szCs w:val="18"/>
              </w:rPr>
              <w:t xml:space="preserve">Lugar</w:t>
            </w:r>
          </w:p>
        </w:tc>
        <w:tc>
          <w:tcPr>
            <w:tcBorders>
              <w:top w:val="single" w:color="D5D9E3" w:sz="4"/>
              <w:left w:val="single" w:color="D5D9E3" w:sz="4"/>
              <w:bottom w:val="single" w:color="D5D9E3" w:sz="4"/>
              <w:right w:val="single" w:color="D5D9E3" w:sz="4"/>
            </w:tcBorders>
          </w:tcPr>
          <w:p>
            <w:r>
              <w:rPr>
                <w:b w:val="false"/>
                <w:bCs w:val="false"/>
                <w:sz w:val="18"/>
                <w:szCs w:val="18"/>
              </w:rPr>
              <w:t xml:space="preserve">Sala de consejo, Oficinas centrales</w:t>
            </w:r>
          </w:p>
        </w:tc>
      </w:tr>
      <w:tr>
        <w:tc>
          <w:tcPr>
            <w:tcBorders>
              <w:top w:val="single" w:color="D5D9E3" w:sz="4"/>
              <w:left w:val="single" w:color="D5D9E3" w:sz="4"/>
              <w:bottom w:val="single" w:color="D5D9E3" w:sz="4"/>
              <w:right w:val="single" w:color="D5D9E3" w:sz="4"/>
            </w:tcBorders>
          </w:tcPr>
          <w:p>
            <w:r>
              <w:rPr>
                <w:b w:val="false"/>
                <w:bCs w:val="false"/>
                <w:sz w:val="18"/>
                <w:szCs w:val="18"/>
              </w:rPr>
              <w:t xml:space="preserve">Preside</w:t>
            </w:r>
          </w:p>
        </w:tc>
        <w:tc>
          <w:tcPr>
            <w:tcBorders>
              <w:top w:val="single" w:color="D5D9E3" w:sz="4"/>
              <w:left w:val="single" w:color="D5D9E3" w:sz="4"/>
              <w:bottom w:val="single" w:color="D5D9E3" w:sz="4"/>
              <w:right w:val="single" w:color="D5D9E3" w:sz="4"/>
            </w:tcBorders>
          </w:tcPr>
          <w:p>
            <w:r>
              <w:rPr>
                <w:b w:val="false"/>
                <w:bCs w:val="false"/>
                <w:sz w:val="18"/>
                <w:szCs w:val="18"/>
              </w:rPr>
              <w:t xml:space="preserve">Martín Olmedo, Director General</w:t>
            </w:r>
          </w:p>
        </w:tc>
      </w:tr>
      <w:tr>
        <w:tc>
          <w:tcPr>
            <w:tcBorders>
              <w:top w:val="single" w:color="D5D9E3" w:sz="4"/>
              <w:left w:val="single" w:color="D5D9E3" w:sz="4"/>
              <w:bottom w:val="single" w:color="D5D9E3" w:sz="4"/>
              <w:right w:val="single" w:color="D5D9E3" w:sz="4"/>
            </w:tcBorders>
          </w:tcPr>
          <w:p>
            <w:r>
              <w:rPr>
                <w:b w:val="false"/>
                <w:bCs w:val="false"/>
                <w:sz w:val="18"/>
                <w:szCs w:val="18"/>
              </w:rPr>
              <w:t xml:space="preserve">Secretario</w:t>
            </w:r>
          </w:p>
        </w:tc>
        <w:tc>
          <w:tcPr>
            <w:tcBorders>
              <w:top w:val="single" w:color="D5D9E3" w:sz="4"/>
              <w:left w:val="single" w:color="D5D9E3" w:sz="4"/>
              <w:bottom w:val="single" w:color="D5D9E3" w:sz="4"/>
              <w:right w:val="single" w:color="D5D9E3" w:sz="4"/>
            </w:tcBorders>
          </w:tcPr>
          <w:p>
            <w:r>
              <w:rPr>
                <w:b w:val="false"/>
                <w:bCs w:val="false"/>
                <w:sz w:val="18"/>
                <w:szCs w:val="18"/>
              </w:rPr>
              <w:t xml:space="preserve">Luis Méndez, Gerente Legal</w:t>
            </w:r>
          </w:p>
        </w:tc>
      </w:tr>
      <w:tr>
        <w:tc>
          <w:tcPr>
            <w:tcBorders>
              <w:top w:val="single" w:color="D5D9E3" w:sz="4"/>
              <w:left w:val="single" w:color="D5D9E3" w:sz="4"/>
              <w:bottom w:val="single" w:color="D5D9E3" w:sz="4"/>
              <w:right w:val="single" w:color="D5D9E3" w:sz="4"/>
            </w:tcBorders>
          </w:tcPr>
          <w:p>
            <w:r>
              <w:rPr>
                <w:b w:val="false"/>
                <w:bCs w:val="false"/>
                <w:sz w:val="18"/>
                <w:szCs w:val="18"/>
              </w:rPr>
              <w:t xml:space="preserve">Asistentes</w:t>
            </w:r>
          </w:p>
        </w:tc>
        <w:tc>
          <w:tcPr>
            <w:tcBorders>
              <w:top w:val="single" w:color="D5D9E3" w:sz="4"/>
              <w:left w:val="single" w:color="D5D9E3" w:sz="4"/>
              <w:bottom w:val="single" w:color="D5D9E3" w:sz="4"/>
              <w:right w:val="single" w:color="D5D9E3" w:sz="4"/>
            </w:tcBorders>
          </w:tcPr>
          <w:p>
            <w:r>
              <w:rPr>
                <w:b w:val="false"/>
                <w:bCs w:val="false"/>
                <w:sz w:val="18"/>
                <w:szCs w:val="18"/>
              </w:rPr>
              <w:t xml:space="preserve">Carla Ruiz (Directora de Finanzas); Elena Vargas (Gerente de Operaciones); Sofía León (Gerente Comercial); Ana Torres (Gerente de Recursos Humanos)</w:t>
            </w:r>
          </w:p>
        </w:tc>
      </w:tr>
    </w:tbl>
    <w:p/>
    <w:p>
      <w:pPr>
        <w:pStyle w:val="Heading1"/>
      </w:pPr>
      <w:r>
        <w:t xml:space="preserve">Orden del día</w:t>
      </w:r>
    </w:p>
    <w:p>
      <w:pPr>
        <w:pStyle w:val="ListParagraph"/>
        <w:numPr>
          <w:ilvl w:val="0"/>
          <w:numId w:val="2"/>
        </w:numPr>
      </w:pPr>
      <w:r>
        <w:rPr>
          <w:b w:val="false"/>
          <w:bCs w:val="false"/>
        </w:rPr>
        <w:t xml:space="preserve">Resultados financieros del segundo trimestre.</w:t>
      </w:r>
    </w:p>
    <w:p>
      <w:pPr>
        <w:pStyle w:val="ListParagraph"/>
        <w:numPr>
          <w:ilvl w:val="0"/>
          <w:numId w:val="2"/>
        </w:numPr>
      </w:pPr>
      <w:r>
        <w:rPr>
          <w:b w:val="false"/>
          <w:bCs w:val="false"/>
        </w:rPr>
        <w:t xml:space="preserve">Sobrecosto de Mantenimiento por el overhaul de la Línea 2.</w:t>
      </w:r>
    </w:p>
    <w:p>
      <w:pPr>
        <w:pStyle w:val="ListParagraph"/>
        <w:numPr>
          <w:ilvl w:val="0"/>
          <w:numId w:val="2"/>
        </w:numPr>
      </w:pPr>
      <w:r>
        <w:rPr>
          <w:b w:val="false"/>
          <w:bCs w:val="false"/>
        </w:rPr>
        <w:t xml:space="preserve">Desempeño del proveedor de mantenimiento.</w:t>
      </w:r>
    </w:p>
    <w:p>
      <w:pPr>
        <w:pStyle w:val="ListParagraph"/>
        <w:numPr>
          <w:ilvl w:val="0"/>
          <w:numId w:val="2"/>
        </w:numPr>
      </w:pPr>
      <w:r>
        <w:rPr>
          <w:b w:val="false"/>
          <w:bCs w:val="false"/>
        </w:rPr>
        <w:t xml:space="preserve">Plataforma Knowledge AI.</w:t>
      </w:r>
    </w:p>
    <w:p>
      <w:pPr>
        <w:pStyle w:val="ListParagraph"/>
        <w:numPr>
          <w:ilvl w:val="0"/>
          <w:numId w:val="2"/>
        </w:numPr>
      </w:pPr>
      <w:r>
        <w:rPr>
          <w:b w:val="false"/>
          <w:bCs w:val="false"/>
        </w:rPr>
        <w:t xml:space="preserve">Asuntos varios.</w:t>
      </w:r>
    </w:p>
    <w:p>
      <w:pPr>
        <w:pStyle w:val="Heading1"/>
      </w:pPr>
      <w:r>
        <w:t xml:space="preserve">1. Resultados financieros del segundo trimestre</w:t>
      </w:r>
    </w:p>
    <w:p>
      <w:pPr>
        <w:spacing w:after="120"/>
      </w:pPr>
      <w:r>
        <w:rPr>
          <w:b w:val="false"/>
          <w:bCs w:val="false"/>
        </w:rPr>
        <w:t xml:space="preserve">La Directora de Finanzas presentó el Informe financiero del segundo trimestre de 2026. Los ingresos del trimestre fueron de 7,970,902.35 USD, 5.6% por encima del presupuesto, con un margen bruto de 35.5%. El Comité tomó conocimiento de los resultados.</w:t>
      </w:r>
    </w:p>
    <w:p>
      <w:pPr>
        <w:pStyle w:val="Heading1"/>
      </w:pPr>
      <w:r>
        <w:t xml:space="preserve">2. Sobrecosto de Mantenimiento</w:t>
      </w:r>
    </w:p>
    <w:p>
      <w:pPr>
        <w:spacing w:after="120"/>
      </w:pPr>
      <w:r>
        <w:rPr>
          <w:b w:val="false"/>
          <w:bCs w:val="false"/>
        </w:rPr>
        <w:t xml:space="preserve">La Gerente de Operaciones explicó que el centro de costo CC-620 Mantenimiento cerró el trimestre con un gasto real de 382,080 USD frente a 288,000 USD presupuestados (32.7% por encima), debido al overhaul de los husillos de la Línea 2.</w:t>
      </w:r>
    </w:p>
    <w:p>
      <w:pPr>
        <w:spacing w:after="120"/>
      </w:pPr>
      <w:r>
        <w:rPr>
          <w:b/>
          <w:bCs/>
        </w:rPr>
        <w:t xml:space="preserve">Acuerdo 2026-07-01:</w:t>
      </w:r>
      <w:r>
        <w:rPr>
          <w:b w:val="false"/>
          <w:bCs w:val="false"/>
        </w:rPr>
        <w:t xml:space="preserve"> se aprueba el sobrecosto como gasto extraordinario y se instruye a Operaciones a presentar, en la sesión de octubre, un plan de mantenimiento predictivo para la Línea 2 que incluya el monitoreo mensual de vibración.</w:t>
      </w:r>
    </w:p>
    <w:p>
      <w:pPr>
        <w:spacing w:after="120"/>
      </w:pPr>
      <w:r>
        <w:rPr>
          <w:b/>
          <w:bCs/>
        </w:rPr>
        <w:t xml:space="preserve">Acuerdo 2026-07-02:</w:t>
      </w:r>
      <w:r>
        <w:rPr>
          <w:b w:val="false"/>
          <w:bCs w:val="false"/>
        </w:rPr>
        <w:t xml:space="preserve"> Finanzas incluirá en el presupuesto de 2027 un fondo de overhauls programados para las Líneas 1 y 2.</w:t>
      </w:r>
    </w:p>
    <w:p>
      <w:pPr>
        <w:pStyle w:val="Heading1"/>
      </w:pPr>
      <w:r>
        <w:t xml:space="preserve">3. Desempeño del proveedor de mantenimiento</w:t>
      </w:r>
    </w:p>
    <w:p>
      <w:pPr>
        <w:spacing w:after="120"/>
      </w:pPr>
      <w:r>
        <w:rPr>
          <w:b w:val="false"/>
          <w:bCs w:val="false"/>
        </w:rPr>
        <w:t xml:space="preserve">Se revisó el cumplimiento de los niveles de servicio de Servicios Técnicos Arvelo S.A. La Gerente de Operaciones informó que el proveedor cumplió la mayoría de las órdenes críticas dentro de las 24 horas, pero hubo retrasos en órdenes de prioridad Alta.</w:t>
      </w:r>
    </w:p>
    <w:p>
      <w:pPr>
        <w:spacing w:after="120"/>
      </w:pPr>
      <w:r>
        <w:rPr>
          <w:b/>
          <w:bCs/>
        </w:rPr>
        <w:t xml:space="preserve">Acuerdo 2026-07-03:</w:t>
      </w:r>
      <w:r>
        <w:rPr>
          <w:b w:val="false"/>
          <w:bCs w:val="false"/>
        </w:rPr>
        <w:t xml:space="preserve"> Operaciones aplicará estrictamente las penalizaciones del contrato CT-2026-004 (2% de la mensualidad por cada orden fuera de SLA, con tope del 20%) y presentará un reporte mensual de cumplimiento al Comité.</w:t>
      </w:r>
    </w:p>
    <w:p>
      <w:pPr>
        <w:pStyle w:val="Heading1"/>
      </w:pPr>
      <w:r>
        <w:t xml:space="preserve">4. Plataforma Knowledge AI</w:t>
      </w:r>
    </w:p>
    <w:p>
      <w:pPr>
        <w:spacing w:after="120"/>
      </w:pPr>
      <w:r>
        <w:rPr>
          <w:b w:val="false"/>
          <w:bCs w:val="false"/>
        </w:rPr>
        <w:t xml:space="preserve">La Gerente de Recursos Humanos, como responsable funcional de la plataforma, presentó el avance de Knowledge AI: repositorio documental por área, búsqueda con citas (RAG) y primeros agentes para consultas de políticas internas.</w:t>
      </w:r>
    </w:p>
    <w:p>
      <w:pPr>
        <w:spacing w:after="120"/>
      </w:pPr>
      <w:r>
        <w:rPr>
          <w:b/>
          <w:bCs/>
        </w:rPr>
        <w:t xml:space="preserve">Acuerdo 2026-07-04:</w:t>
      </w:r>
      <w:r>
        <w:rPr>
          <w:b w:val="false"/>
          <w:bCs w:val="false"/>
        </w:rPr>
        <w:t xml:space="preserve"> se aprueba una prueba piloto en el cuarto trimestre con los agentes de Soporte interno (políticas de RR. HH. y viáticos) y de Finanzas. La Oficial de Protección de Datos deberá validar que ningún documento Restringido se incluya en las colecciones del piloto.</w:t>
      </w:r>
    </w:p>
    <w:p>
      <w:pPr>
        <w:pStyle w:val="Heading1"/>
      </w:pPr>
      <w:r>
        <w:t xml:space="preserve">5. Asuntos varios</w:t>
      </w:r>
    </w:p>
    <w:p>
      <w:pPr>
        <w:pStyle w:val="ListParagraph"/>
        <w:numPr>
          <w:ilvl w:val="0"/>
          <w:numId w:val="1"/>
        </w:numPr>
      </w:pPr>
      <w:r>
        <w:rPr>
          <w:b w:val="false"/>
          <w:bCs w:val="false"/>
        </w:rPr>
        <w:t xml:space="preserve">La Gerente Comercial informó que el contrato de distribución con Hidrotec Distribuciones vence en octubre y que el distribuidor solicitará mejores condiciones.</w:t>
      </w:r>
    </w:p>
    <w:p>
      <w:pPr>
        <w:pStyle w:val="ListParagraph"/>
        <w:numPr>
          <w:ilvl w:val="0"/>
          <w:numId w:val="1"/>
        </w:numPr>
      </w:pPr>
      <w:r>
        <w:rPr>
          <w:b w:val="false"/>
          <w:bCs w:val="false"/>
        </w:rPr>
        <w:t xml:space="preserve">Próxima sesión ordinaria: 19 de octubre de 2026.</w:t>
      </w:r>
    </w:p>
    <w:p>
      <w:pPr>
        <w:spacing w:after="120"/>
      </w:pPr>
      <w:r>
        <w:rPr>
          <w:b w:val="false"/>
          <w:bCs w:val="false"/>
        </w:rPr>
        <w:t xml:space="preserve">Sin más asuntos que tratar, se cerró la sesión a las 13:40 horas.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5"/>
        <w:sz w:val="16"/>
        <w:szCs w:val="16"/>
      </w:rPr>
      <w:t xml:space="preserve">Confidencial · Versión 1.0 ·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B7285"/>
        <w:sz w:val="16"/>
        <w:szCs w:val="16"/>
      </w:rPr>
      <w:t xml:space="preserve">Nexora Industrial S.A. · ACT-DIR-2026-07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del Comité de Dirección - Sesión ordinaria de julio de 2026</dc:title>
  <dc:creator>Luis Méndez</dc:creator>
  <dc:description>ACT-DIR-2026-07</dc:description>
  <cp:lastModifiedBy>Un-named</cp:lastModifiedBy>
  <cp:revision>1</cp:revision>
  <dcterms:created xsi:type="dcterms:W3CDTF">2026-09-30T12:00:00.000Z</dcterms:created>
  <dcterms:modified xsi:type="dcterms:W3CDTF">2026-09-30T12:00:00.000Z</dcterms:modified>
</cp:coreProperties>
</file>

<file path=docProps/custom.xml><?xml version="1.0" encoding="utf-8"?>
<Properties xmlns="http://schemas.openxmlformats.org/officeDocument/2006/custom-properties" xmlns:vt="http://schemas.openxmlformats.org/officeDocument/2006/docPropsVTypes"/>
</file>