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Plantilla de acuerdo de confidencialidad (NDA)</w:t>
      </w:r>
    </w:p>
    <w:p>
      <w:pPr>
        <w:spacing w:after="0"/>
      </w:pPr>
      <w:r>
        <w:rPr>
          <w:b/>
          <w:bCs/>
          <w:color w:val="6B7285"/>
          <w:sz w:val="18"/>
          <w:szCs w:val="18"/>
        </w:rPr>
        <w:t xml:space="preserve">Código: </w:t>
      </w:r>
      <w:r>
        <w:rPr>
          <w:color w:val="6B7285"/>
          <w:sz w:val="18"/>
          <w:szCs w:val="18"/>
        </w:rPr>
        <w:t xml:space="preserve">FOR-LEG-002</w:t>
      </w:r>
    </w:p>
    <w:p>
      <w:pPr>
        <w:spacing w:after="0"/>
      </w:pPr>
      <w:r>
        <w:rPr>
          <w:b/>
          <w:bCs/>
          <w:color w:val="6B7285"/>
          <w:sz w:val="18"/>
          <w:szCs w:val="18"/>
        </w:rPr>
        <w:t xml:space="preserve">Versión: </w:t>
      </w:r>
      <w:r>
        <w:rPr>
          <w:color w:val="6B7285"/>
          <w:sz w:val="18"/>
          <w:szCs w:val="18"/>
        </w:rPr>
        <w:t xml:space="preserve">1.3</w:t>
      </w:r>
    </w:p>
    <w:p>
      <w:pPr>
        <w:spacing w:after="0"/>
      </w:pPr>
      <w:r>
        <w:rPr>
          <w:b/>
          <w:bCs/>
          <w:color w:val="6B7285"/>
          <w:sz w:val="18"/>
          <w:szCs w:val="18"/>
        </w:rPr>
        <w:t xml:space="preserve">Vigente desde: </w:t>
      </w:r>
      <w:r>
        <w:rPr>
          <w:color w:val="6B7285"/>
          <w:sz w:val="18"/>
          <w:szCs w:val="18"/>
        </w:rPr>
        <w:t xml:space="preserve">2025-05-15</w:t>
      </w:r>
    </w:p>
    <w:p>
      <w:pPr>
        <w:spacing w:after="0"/>
      </w:pPr>
      <w:r>
        <w:rPr>
          <w:b/>
          <w:bCs/>
          <w:color w:val="6B7285"/>
          <w:sz w:val="18"/>
          <w:szCs w:val="18"/>
        </w:rPr>
        <w:t xml:space="preserve">Responsable: </w:t>
      </w:r>
      <w:r>
        <w:rPr>
          <w:color w:val="6B7285"/>
          <w:sz w:val="18"/>
          <w:szCs w:val="18"/>
        </w:rPr>
        <w:t xml:space="preserve">Luis Méndez</w:t>
      </w:r>
    </w:p>
    <w:p>
      <w:pPr>
        <w:spacing w:after="0"/>
      </w:pPr>
      <w:r>
        <w:rPr>
          <w:b/>
          <w:bCs/>
          <w:color w:val="6B7285"/>
          <w:sz w:val="18"/>
          <w:szCs w:val="18"/>
        </w:rPr>
        <w:t xml:space="preserve">Clasificación: </w:t>
      </w:r>
      <w:r>
        <w:rPr>
          <w:color w:val="6B7285"/>
          <w:sz w:val="18"/>
          <w:szCs w:val="18"/>
        </w:rPr>
        <w:t xml:space="preserve">Interna</w:t>
      </w:r>
    </w:p>
    <w:p/>
    <w:p>
      <w:pPr>
        <w:shd w:fill="F0F2F7" w:color="auto" w:val="clear"/>
        <w:spacing w:after="120" w:before="120"/>
      </w:pPr>
      <w:r>
        <w:rPr>
          <w:i/>
          <w:iCs/>
        </w:rPr>
        <w:t xml:space="preserve">Instrucciones de uso: esta plantilla se usa antes de compartir información técnica o comercial con clientes, prospectos o proveedores. No modifique las cláusulas sin visto bueno del área Legal. Complete los campos entre corchetes y envíe el borrador a Legal para su revisión. Todo NDA requiere la firma del Gerente Legal, sin importar el monto de la operación.</w:t>
      </w:r>
    </w:p>
    <w:p>
      <w:pPr>
        <w:pStyle w:val="Heading1"/>
      </w:pPr>
      <w:r>
        <w:t xml:space="preserve">Partes</w:t>
      </w:r>
    </w:p>
    <w:p>
      <w:pPr>
        <w:spacing w:after="120"/>
      </w:pPr>
      <w:r>
        <w:rPr>
          <w:b w:val="false"/>
          <w:bCs w:val="false"/>
        </w:rPr>
        <w:t xml:space="preserve">Acuerdo de confidencialidad que celebran, por una parte, </w:t>
      </w:r>
      <w:r>
        <w:rPr>
          <w:b/>
          <w:bCs/>
        </w:rPr>
        <w:t xml:space="preserve">Nexora Industrial S.A.</w:t>
      </w:r>
      <w:r>
        <w:rPr>
          <w:b w:val="false"/>
          <w:bCs w:val="false"/>
        </w:rPr>
        <w:t xml:space="preserve"> ("Nexora"), representada por [nombre del representante], y por la otra, </w:t>
      </w:r>
      <w:r>
        <w:rPr>
          <w:b/>
          <w:bCs/>
        </w:rPr>
        <w:t xml:space="preserve">[razón social de la contraparte]</w:t>
      </w:r>
      <w:r>
        <w:rPr>
          <w:b w:val="false"/>
          <w:bCs w:val="false"/>
        </w:rPr>
        <w:t xml:space="preserve"> ("la Contraparte"), representada por [nombre del representante]. En conjunto se les denomina "las Partes".</w:t>
      </w:r>
    </w:p>
    <w:p>
      <w:pPr>
        <w:pStyle w:val="Heading1"/>
      </w:pPr>
      <w:r>
        <w:t xml:space="preserve">Primera. Objeto</w:t>
      </w:r>
    </w:p>
    <w:p>
      <w:pPr>
        <w:spacing w:after="120"/>
      </w:pPr>
      <w:r>
        <w:rPr>
          <w:b w:val="false"/>
          <w:bCs w:val="false"/>
        </w:rPr>
        <w:t xml:space="preserve">Las Partes desean intercambiar información con el propósito de [describir el propósito, por ejemplo: evaluar el suministro de bombas centrífugas para la planta de tratamiento de la Contraparte] ("el Propósito"). El presente acuerdo establece las condiciones para proteger dicha información.</w:t>
      </w:r>
    </w:p>
    <w:p>
      <w:pPr>
        <w:pStyle w:val="Heading1"/>
      </w:pPr>
      <w:r>
        <w:t xml:space="preserve">Segunda. Información confidencial</w:t>
      </w:r>
    </w:p>
    <w:p>
      <w:pPr>
        <w:spacing w:after="120"/>
      </w:pPr>
      <w:r>
        <w:rPr>
          <w:b w:val="false"/>
          <w:bCs w:val="false"/>
        </w:rPr>
        <w:t xml:space="preserve">Se considera información confidencial toda información técnica, comercial, financiera o de cualquier otra naturaleza que una Parte revele a la otra, de forma oral, escrita o electrónica, incluyendo planos, especificaciones, precios, volúmenes y datos de clientes.</w:t>
      </w:r>
    </w:p>
    <w:p>
      <w:pPr>
        <w:spacing w:after="120"/>
      </w:pPr>
      <w:r>
        <w:rPr>
          <w:b w:val="false"/>
          <w:bCs w:val="false"/>
        </w:rPr>
        <w:t xml:space="preserve">No se considera confidencial la información que: (a) sea de dominio público sin culpa de la Parte receptora; (b) la Parte receptora ya conociera legítimamente antes de recibirla; (c) sea desarrollada de forma independiente; o (d) deba revelarse por mandato de autoridad, previa notificación a la otra Parte.</w:t>
      </w:r>
    </w:p>
    <w:p>
      <w:pPr>
        <w:pStyle w:val="Heading1"/>
      </w:pPr>
      <w:r>
        <w:t xml:space="preserve">Tercera. Obligaciones</w:t>
      </w:r>
    </w:p>
    <w:p>
      <w:pPr>
        <w:spacing w:after="120"/>
      </w:pPr>
      <w:r>
        <w:rPr>
          <w:b w:val="false"/>
          <w:bCs w:val="false"/>
        </w:rPr>
        <w:t xml:space="preserve">La Parte receptora se obliga a usar la información únicamente para el Propósito, a no revelarla a terceros sin consentimiento previo por escrito y a limitar el acceso a sus empleados y asesores que necesiten conocerla, quienes deberán estar obligados por deberes de confidencialidad equivalentes.</w:t>
      </w:r>
    </w:p>
    <w:p>
      <w:pPr>
        <w:pStyle w:val="Heading1"/>
      </w:pPr>
      <w:r>
        <w:t xml:space="preserve">Cuarta. Vigencia</w:t>
      </w:r>
    </w:p>
    <w:p>
      <w:pPr>
        <w:spacing w:after="120"/>
      </w:pPr>
      <w:r>
        <w:rPr>
          <w:b w:val="false"/>
          <w:bCs w:val="false"/>
        </w:rPr>
        <w:t xml:space="preserve">El acuerdo tiene una vigencia de </w:t>
      </w:r>
      <w:r>
        <w:rPr>
          <w:b/>
          <w:bCs/>
        </w:rPr>
        <w:t xml:space="preserve">un año</w:t>
      </w:r>
      <w:r>
        <w:rPr>
          <w:b w:val="false"/>
          <w:bCs w:val="false"/>
        </w:rPr>
        <w:t xml:space="preserve"> a partir de su firma para el intercambio de información. Las obligaciones de confidencialidad subsisten durante </w:t>
      </w:r>
      <w:r>
        <w:rPr>
          <w:b/>
          <w:bCs/>
        </w:rPr>
        <w:t xml:space="preserve">cinco años</w:t>
      </w:r>
      <w:r>
        <w:rPr>
          <w:b w:val="false"/>
          <w:bCs w:val="false"/>
        </w:rPr>
        <w:t xml:space="preserve"> después de la terminación del acuerdo.</w:t>
      </w:r>
    </w:p>
    <w:p>
      <w:pPr>
        <w:pStyle w:val="Heading1"/>
      </w:pPr>
      <w:r>
        <w:t xml:space="preserve">Quinta. Devolución de información</w:t>
      </w:r>
    </w:p>
    <w:p>
      <w:pPr>
        <w:spacing w:after="120"/>
      </w:pPr>
      <w:r>
        <w:rPr>
          <w:b w:val="false"/>
          <w:bCs w:val="false"/>
        </w:rPr>
        <w:t xml:space="preserve">Al terminar el acuerdo o a solicitud de la Parte reveladora, la Parte receptora devolverá o destruirá la información confidencial en un plazo de 15 días naturales y confirmará por escrito su destrucción.</w:t>
      </w:r>
    </w:p>
    <w:p>
      <w:pPr>
        <w:pStyle w:val="Heading1"/>
      </w:pPr>
      <w:r>
        <w:t xml:space="preserve">Sexta. Propiedad intelectual</w:t>
      </w:r>
    </w:p>
    <w:p>
      <w:pPr>
        <w:spacing w:after="120"/>
      </w:pPr>
      <w:r>
        <w:rPr>
          <w:b w:val="false"/>
          <w:bCs w:val="false"/>
        </w:rPr>
        <w:t xml:space="preserve">Ninguna disposición de este acuerdo otorga licencia ni derecho alguno sobre patentes, marcas, diseños o secretos industriales de la otra Parte.</w:t>
      </w:r>
    </w:p>
    <w:p>
      <w:pPr>
        <w:pStyle w:val="Heading1"/>
      </w:pPr>
      <w:r>
        <w:t xml:space="preserve">Séptima. Incumplimiento</w:t>
      </w:r>
    </w:p>
    <w:p>
      <w:pPr>
        <w:spacing w:after="120"/>
      </w:pPr>
      <w:r>
        <w:rPr>
          <w:b w:val="false"/>
          <w:bCs w:val="false"/>
        </w:rPr>
        <w:t xml:space="preserve">La Parte que incumpla este acuerdo será responsable de los daños y perjuicios que cause, sin perjuicio de las acciones legales que correspondan.</w:t>
      </w:r>
    </w:p>
    <w:p>
      <w:pPr>
        <w:pStyle w:val="Heading1"/>
      </w:pPr>
      <w:r>
        <w:t xml:space="preserve">Octava. Jurisdicción</w:t>
      </w:r>
    </w:p>
    <w:p>
      <w:pPr>
        <w:spacing w:after="120"/>
      </w:pPr>
      <w:r>
        <w:rPr>
          <w:b w:val="false"/>
          <w:bCs w:val="false"/>
        </w:rPr>
        <w:t xml:space="preserve">Las Partes se someten a las leyes aplicables y a los tribunales competentes del domicilio de Nexora.</w:t>
      </w:r>
    </w:p>
    <w:p>
      <w:pPr>
        <w:pStyle w:val="Heading1"/>
      </w:pPr>
      <w:r>
        <w:t xml:space="preserve">Firmas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Borders>
              <w:top w:val="single" w:color="D5D9E3" w:sz="4"/>
              <w:left w:val="single" w:color="D5D9E3" w:sz="4"/>
              <w:bottom w:val="single" w:color="D5D9E3" w:sz="4"/>
              <w:right w:val="single" w:color="D5D9E3" w:sz="4"/>
            </w:tcBorders>
            <w:shd w:fill="F0F2F7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Por Nexora Industrial S.A.</w:t>
            </w:r>
          </w:p>
        </w:tc>
        <w:tc>
          <w:tcPr>
            <w:tcBorders>
              <w:top w:val="single" w:color="D5D9E3" w:sz="4"/>
              <w:left w:val="single" w:color="D5D9E3" w:sz="4"/>
              <w:bottom w:val="single" w:color="D5D9E3" w:sz="4"/>
              <w:right w:val="single" w:color="D5D9E3" w:sz="4"/>
            </w:tcBorders>
            <w:shd w:fill="F0F2F7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Por la Contraparte</w:t>
            </w:r>
          </w:p>
        </w:tc>
      </w:tr>
      <w:tr>
        <w:tc>
          <w:tcPr>
            <w:tcBorders>
              <w:top w:val="single" w:color="D5D9E3" w:sz="4"/>
              <w:left w:val="single" w:color="D5D9E3" w:sz="4"/>
              <w:bottom w:val="single" w:color="D5D9E3" w:sz="4"/>
              <w:right w:val="single" w:color="D5D9E3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[Nombre y firma del representante]</w:t>
            </w:r>
          </w:p>
        </w:tc>
        <w:tc>
          <w:tcPr>
            <w:tcBorders>
              <w:top w:val="single" w:color="D5D9E3" w:sz="4"/>
              <w:left w:val="single" w:color="D5D9E3" w:sz="4"/>
              <w:bottom w:val="single" w:color="D5D9E3" w:sz="4"/>
              <w:right w:val="single" w:color="D5D9E3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[Nombre y firma del representante]</w:t>
            </w:r>
          </w:p>
        </w:tc>
      </w:tr>
      <w:tr>
        <w:tc>
          <w:tcPr>
            <w:tcBorders>
              <w:top w:val="single" w:color="D5D9E3" w:sz="4"/>
              <w:left w:val="single" w:color="D5D9E3" w:sz="4"/>
              <w:bottom w:val="single" w:color="D5D9E3" w:sz="4"/>
              <w:right w:val="single" w:color="D5D9E3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Visto bueno: Gerente Legal</w:t>
            </w:r>
          </w:p>
        </w:tc>
        <w:tc>
          <w:tcPr>
            <w:tcBorders>
              <w:top w:val="single" w:color="D5D9E3" w:sz="4"/>
              <w:left w:val="single" w:color="D5D9E3" w:sz="4"/>
              <w:bottom w:val="single" w:color="D5D9E3" w:sz="4"/>
              <w:right w:val="single" w:color="D5D9E3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Fecha: [dd/mm/aaaa]</w:t>
            </w:r>
          </w:p>
        </w:tc>
      </w:tr>
    </w:tbl>
    <w:p/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5"/>
        <w:sz w:val="16"/>
        <w:szCs w:val="16"/>
      </w:rPr>
      <w:t xml:space="preserve">Interna · Versión 1.3 · 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color w:val="6B7285"/>
        <w:sz w:val="16"/>
        <w:szCs w:val="16"/>
      </w:rPr>
      <w:t xml:space="preserve">Nexora Industrial S.A. · FOR-LEG-002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Plantilla de acuerdo de confidencialidad (NDA)</dc:title>
  <dc:creator>Luis Méndez</dc:creator>
  <dc:description>FOR-LEG-002</dc:description>
  <cp:lastModifiedBy>Un-named</cp:lastModifiedBy>
  <cp:revision>1</cp:revision>
  <dcterms:created xsi:type="dcterms:W3CDTF">2026-09-30T12:00:00.000Z</dcterms:created>
  <dcterms:modified xsi:type="dcterms:W3CDTF">2026-09-30T12:00:00.000Z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