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Política de firmas y niveles de aprobación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POL-LEG-002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3.0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2026-01-10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Luis Méndez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Objetivo</w:t>
      </w:r>
    </w:p>
    <w:p>
      <w:pPr>
        <w:spacing w:after="120"/>
      </w:pPr>
      <w:r>
        <w:rPr>
          <w:b w:val="false"/>
          <w:bCs w:val="false"/>
        </w:rPr>
        <w:t xml:space="preserve">Definir quién puede aprobar gastos, compras y contratos en nombre de Nexora Industrial S.A., según el monto y el tipo de compromiso, para asegurar el control interno y la separación de funciones.</w:t>
      </w:r>
    </w:p>
    <w:p>
      <w:pPr>
        <w:pStyle w:val="Heading1"/>
      </w:pPr>
      <w:r>
        <w:t xml:space="preserve">Principios generales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El monto se calcula por el valor total del compromiso, sin impuestos, y por toda su vigencia. En contratos plurianuales se considera la suma de todos los años.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Está prohibido dividir una compra o contrato en partes más pequeñas para quedar dentro de un nivel de aprobación inferior.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Nadie puede aprobar un gasto propio ni un gasto en el que tenga un conflicto de interés declarado.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Las aprobaciones se registran en el flujo de aprobación del ERP. Las aprobaciones por correo solo son válidas en caso de falla del sistema y deben registrarse después.</w:t>
      </w:r>
    </w:p>
    <w:p>
      <w:pPr>
        <w:pStyle w:val="Heading1"/>
      </w:pPr>
      <w:r>
        <w:t xml:space="preserve">Niveles de aprobación de gastos y compras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Monto del compromiso (USD)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Aprueba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Hasta 5,000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Jefe de área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5,000.01 a 25,000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Gerente de área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25,000.01 a 100,000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Gerente de área y Directora de Finanzas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 100,000.01 a 500,000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 General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Más de 500,000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Consejo de Administración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Los niveles son acumulativos: un compromiso de 60,000 USD requiere la aprobación del gerente de área y de la Directora de Finanzas, además de la revisión del jefe de área que lo solicita.</w:t>
      </w:r>
    </w:p>
    <w:p>
      <w:pPr>
        <w:pStyle w:val="Heading1"/>
      </w:pPr>
      <w:r>
        <w:t xml:space="preserve">Contratos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Todo contrato con un monto superior a </w:t>
      </w:r>
      <w:r>
        <w:rPr>
          <w:b/>
          <w:bCs/>
        </w:rPr>
        <w:t xml:space="preserve">10,000 USD</w:t>
      </w:r>
      <w:r>
        <w:rPr>
          <w:b w:val="false"/>
          <w:bCs w:val="false"/>
        </w:rPr>
        <w:t xml:space="preserve"> requiere el visto bueno del Gerente Legal antes de su firma.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Todo acuerdo de confidencialidad (NDA) requiere la firma del Gerente Legal, sin importar el monto.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Los contratos de arrendamiento, préstamos y garantías requieren siempre la firma del Director General.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Los contratos de distribución deben ser firmados por la Gerente Comercial y revisados por Legal.</w:t>
      </w:r>
    </w:p>
    <w:p>
      <w:pPr>
        <w:pStyle w:val="Heading1"/>
      </w:pPr>
      <w:r>
        <w:t xml:space="preserve">Descuentos comerciales</w:t>
      </w:r>
    </w:p>
    <w:p>
      <w:pPr>
        <w:spacing w:after="120"/>
      </w:pPr>
      <w:r>
        <w:rPr>
          <w:b w:val="false"/>
          <w:bCs w:val="false"/>
        </w:rPr>
        <w:t xml:space="preserve">Las aprobaciones de descuentos a clientes se rigen por la Política comercial y de descuentos (POL-COM-001), que establece los límites para el Ejecutivo de ventas, la Gerente Comercial y el Director General.</w:t>
      </w:r>
    </w:p>
    <w:p>
      <w:pPr>
        <w:pStyle w:val="Heading1"/>
      </w:pPr>
      <w:r>
        <w:t xml:space="preserve">Pagos</w:t>
      </w:r>
    </w:p>
    <w:p>
      <w:pPr>
        <w:spacing w:after="120"/>
      </w:pPr>
      <w:r>
        <w:rPr>
          <w:b w:val="false"/>
          <w:bCs w:val="false"/>
        </w:rPr>
        <w:t xml:space="preserve">Los pagos a proveedores requieren dos firmas electrónicas en la banca: una de Tesorería y otra de la Directora de Finanzas o del Contador General. Los pagos superiores a 100,000 USD requieren además la autorización del Director General.</w:t>
      </w:r>
    </w:p>
    <w:p>
      <w:pPr>
        <w:pStyle w:val="Heading1"/>
      </w:pPr>
      <w:r>
        <w:t xml:space="preserve">Ausencias y delegación</w:t>
      </w:r>
    </w:p>
    <w:p>
      <w:pPr>
        <w:spacing w:after="120"/>
      </w:pPr>
      <w:r>
        <w:rPr>
          <w:b w:val="false"/>
          <w:bCs w:val="false"/>
        </w:rPr>
        <w:t xml:space="preserve">Cuando un aprobador esté ausente, puede delegar su facultad por escrito a otra persona del mismo nivel o superior, por un periodo máximo de 30 días naturales. La delegación debe registrarse en el ERP.</w:t>
      </w:r>
    </w:p>
    <w:p>
      <w:pPr>
        <w:pStyle w:val="Heading1"/>
      </w:pPr>
      <w:r>
        <w:t xml:space="preserve">Incumplimiento</w:t>
      </w:r>
    </w:p>
    <w:p>
      <w:pPr>
        <w:spacing w:after="120"/>
      </w:pPr>
      <w:r>
        <w:rPr>
          <w:b w:val="false"/>
          <w:bCs w:val="false"/>
        </w:rPr>
        <w:t xml:space="preserve">Los compromisos adquiridos sin la aprobación correspondiente no obligan a Nexora frente al empleado que los contrajo y pueden dar lugar a medidas disciplinarias conforme al Código de ética y conducta.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3.0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POL-LEG-002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firmas y niveles de aprobación</dc:title>
  <dc:creator>Luis Méndez</dc:creator>
  <dc:description>POL-LEG-002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