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Instrucción de trabajo - Calibración de bancos de prueba</w:t>
      </w:r>
    </w:p>
    <w:p>
      <w:pPr>
        <w:spacing w:after="0"/>
      </w:pPr>
      <w:r>
        <w:rPr>
          <w:b/>
          <w:bCs/>
          <w:color w:val="6B7285"/>
          <w:sz w:val="18"/>
          <w:szCs w:val="18"/>
        </w:rPr>
        <w:t xml:space="preserve">Código: </w:t>
      </w:r>
      <w:r>
        <w:rPr>
          <w:color w:val="6B7285"/>
          <w:sz w:val="18"/>
          <w:szCs w:val="18"/>
        </w:rPr>
        <w:t xml:space="preserve">IT-OP-047</w:t>
      </w:r>
    </w:p>
    <w:p>
      <w:pPr>
        <w:spacing w:after="0"/>
      </w:pPr>
      <w:r>
        <w:rPr>
          <w:b/>
          <w:bCs/>
          <w:color w:val="6B7285"/>
          <w:sz w:val="18"/>
          <w:szCs w:val="18"/>
        </w:rPr>
        <w:t xml:space="preserve">Versión: </w:t>
      </w:r>
      <w:r>
        <w:rPr>
          <w:color w:val="6B7285"/>
          <w:sz w:val="18"/>
          <w:szCs w:val="18"/>
        </w:rPr>
        <w:t xml:space="preserve">1.8</w:t>
      </w:r>
    </w:p>
    <w:p>
      <w:pPr>
        <w:spacing w:after="0"/>
      </w:pPr>
      <w:r>
        <w:rPr>
          <w:b/>
          <w:bCs/>
          <w:color w:val="6B7285"/>
          <w:sz w:val="18"/>
          <w:szCs w:val="18"/>
        </w:rPr>
        <w:t xml:space="preserve">Vigente desde: </w:t>
      </w:r>
      <w:r>
        <w:rPr>
          <w:color w:val="6B7285"/>
          <w:sz w:val="18"/>
          <w:szCs w:val="18"/>
        </w:rPr>
        <w:t xml:space="preserve">2025-12-01</w:t>
      </w:r>
    </w:p>
    <w:p>
      <w:pPr>
        <w:spacing w:after="0"/>
      </w:pPr>
      <w:r>
        <w:rPr>
          <w:b/>
          <w:bCs/>
          <w:color w:val="6B7285"/>
          <w:sz w:val="18"/>
          <w:szCs w:val="18"/>
        </w:rPr>
        <w:t xml:space="preserve">Responsable: </w:t>
      </w:r>
      <w:r>
        <w:rPr>
          <w:color w:val="6B7285"/>
          <w:sz w:val="18"/>
          <w:szCs w:val="18"/>
        </w:rPr>
        <w:t xml:space="preserve">Elena Vargas</w:t>
      </w:r>
    </w:p>
    <w:p>
      <w:pPr>
        <w:spacing w:after="0"/>
      </w:pPr>
      <w:r>
        <w:rPr>
          <w:b/>
          <w:bCs/>
          <w:color w:val="6B7285"/>
          <w:sz w:val="18"/>
          <w:szCs w:val="18"/>
        </w:rPr>
        <w:t xml:space="preserve">Clasificación: </w:t>
      </w:r>
      <w:r>
        <w:rPr>
          <w:color w:val="6B7285"/>
          <w:sz w:val="18"/>
          <w:szCs w:val="18"/>
        </w:rPr>
        <w:t xml:space="preserve">Interna</w:t>
      </w:r>
    </w:p>
    <w:p/>
    <w:p>
      <w:pPr>
        <w:pStyle w:val="Heading1"/>
      </w:pPr>
      <w:r>
        <w:t xml:space="preserve">Objetivo</w:t>
      </w:r>
    </w:p>
    <w:p>
      <w:pPr>
        <w:spacing w:after="120"/>
      </w:pPr>
      <w:r>
        <w:rPr>
          <w:b w:val="false"/>
          <w:bCs w:val="false"/>
        </w:rPr>
        <w:t xml:space="preserve">Asegurar que los bancos de prueba BP-501 y BP-502 de la Línea 5 (Planta Sur) midan correctamente el caudal, la presión y la potencia de las bombas NX antes de su liberación al cliente.</w:t>
      </w:r>
    </w:p>
    <w:p>
      <w:pPr>
        <w:pStyle w:val="Heading1"/>
      </w:pPr>
      <w:r>
        <w:t xml:space="preserve">Frecuencia</w:t>
      </w:r>
    </w:p>
    <w:p>
      <w:pPr>
        <w:spacing w:after="120"/>
      </w:pPr>
      <w:r>
        <w:rPr>
          <w:b w:val="false"/>
          <w:bCs w:val="false"/>
        </w:rPr>
        <w:t xml:space="preserve">Cada banco se calibra </w:t>
      </w:r>
      <w:r>
        <w:rPr>
          <w:b/>
          <w:bCs/>
        </w:rPr>
        <w:t xml:space="preserve">cada 6 meses</w:t>
      </w:r>
      <w:r>
        <w:rPr>
          <w:b w:val="false"/>
          <w:bCs w:val="false"/>
        </w:rPr>
        <w:t xml:space="preserve"> y después de cualquier reparación que afecte a los instrumentos de medición. Un banco con la calibración vencida no puede usarse para liberar producto; el supervisor debe colocar la etiqueta roja "Fuera de servicio".</w:t>
      </w:r>
    </w:p>
    <w:p>
      <w:pPr>
        <w:pStyle w:val="Heading1"/>
      </w:pPr>
      <w:r>
        <w:t xml:space="preserve">Instrumentos y tolerancias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Borders>
              <w:top w:val="single" w:color="D5D9E3" w:sz="4"/>
              <w:left w:val="single" w:color="D5D9E3" w:sz="4"/>
              <w:bottom w:val="single" w:color="D5D9E3" w:sz="4"/>
              <w:right w:val="single" w:color="D5D9E3" w:sz="4"/>
            </w:tcBorders>
            <w:shd w:fill="F0F2F7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Instrumento</w:t>
            </w:r>
          </w:p>
        </w:tc>
        <w:tc>
          <w:tcPr>
            <w:tcBorders>
              <w:top w:val="single" w:color="D5D9E3" w:sz="4"/>
              <w:left w:val="single" w:color="D5D9E3" w:sz="4"/>
              <w:bottom w:val="single" w:color="D5D9E3" w:sz="4"/>
              <w:right w:val="single" w:color="D5D9E3" w:sz="4"/>
            </w:tcBorders>
            <w:shd w:fill="F0F2F7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Tolerancia máxima</w:t>
            </w:r>
          </w:p>
        </w:tc>
      </w:tr>
      <w:tr>
        <w:tc>
          <w:tcPr>
            <w:tcBorders>
              <w:top w:val="single" w:color="D5D9E3" w:sz="4"/>
              <w:left w:val="single" w:color="D5D9E3" w:sz="4"/>
              <w:bottom w:val="single" w:color="D5D9E3" w:sz="4"/>
              <w:right w:val="single" w:color="D5D9E3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Caudalímetro electromagnético</w:t>
            </w:r>
          </w:p>
        </w:tc>
        <w:tc>
          <w:tcPr>
            <w:tcBorders>
              <w:top w:val="single" w:color="D5D9E3" w:sz="4"/>
              <w:left w:val="single" w:color="D5D9E3" w:sz="4"/>
              <w:bottom w:val="single" w:color="D5D9E3" w:sz="4"/>
              <w:right w:val="single" w:color="D5D9E3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± 1% de la lectura</w:t>
            </w:r>
          </w:p>
        </w:tc>
      </w:tr>
      <w:tr>
        <w:tc>
          <w:tcPr>
            <w:tcBorders>
              <w:top w:val="single" w:color="D5D9E3" w:sz="4"/>
              <w:left w:val="single" w:color="D5D9E3" w:sz="4"/>
              <w:bottom w:val="single" w:color="D5D9E3" w:sz="4"/>
              <w:right w:val="single" w:color="D5D9E3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Manómetro de descarga</w:t>
            </w:r>
          </w:p>
        </w:tc>
        <w:tc>
          <w:tcPr>
            <w:tcBorders>
              <w:top w:val="single" w:color="D5D9E3" w:sz="4"/>
              <w:left w:val="single" w:color="D5D9E3" w:sz="4"/>
              <w:bottom w:val="single" w:color="D5D9E3" w:sz="4"/>
              <w:right w:val="single" w:color="D5D9E3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± 0.5% de la escala completa</w:t>
            </w:r>
          </w:p>
        </w:tc>
      </w:tr>
      <w:tr>
        <w:tc>
          <w:tcPr>
            <w:tcBorders>
              <w:top w:val="single" w:color="D5D9E3" w:sz="4"/>
              <w:left w:val="single" w:color="D5D9E3" w:sz="4"/>
              <w:bottom w:val="single" w:color="D5D9E3" w:sz="4"/>
              <w:right w:val="single" w:color="D5D9E3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Vacuómetro de succión</w:t>
            </w:r>
          </w:p>
        </w:tc>
        <w:tc>
          <w:tcPr>
            <w:tcBorders>
              <w:top w:val="single" w:color="D5D9E3" w:sz="4"/>
              <w:left w:val="single" w:color="D5D9E3" w:sz="4"/>
              <w:bottom w:val="single" w:color="D5D9E3" w:sz="4"/>
              <w:right w:val="single" w:color="D5D9E3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± 0.5% de la escala completa</w:t>
            </w:r>
          </w:p>
        </w:tc>
      </w:tr>
      <w:tr>
        <w:tc>
          <w:tcPr>
            <w:tcBorders>
              <w:top w:val="single" w:color="D5D9E3" w:sz="4"/>
              <w:left w:val="single" w:color="D5D9E3" w:sz="4"/>
              <w:bottom w:val="single" w:color="D5D9E3" w:sz="4"/>
              <w:right w:val="single" w:color="D5D9E3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Analizador de potencia</w:t>
            </w:r>
          </w:p>
        </w:tc>
        <w:tc>
          <w:tcPr>
            <w:tcBorders>
              <w:top w:val="single" w:color="D5D9E3" w:sz="4"/>
              <w:left w:val="single" w:color="D5D9E3" w:sz="4"/>
              <w:bottom w:val="single" w:color="D5D9E3" w:sz="4"/>
              <w:right w:val="single" w:color="D5D9E3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± 1% de la lectura</w:t>
            </w:r>
          </w:p>
        </w:tc>
      </w:tr>
      <w:tr>
        <w:tc>
          <w:tcPr>
            <w:tcBorders>
              <w:top w:val="single" w:color="D5D9E3" w:sz="4"/>
              <w:left w:val="single" w:color="D5D9E3" w:sz="4"/>
              <w:bottom w:val="single" w:color="D5D9E3" w:sz="4"/>
              <w:right w:val="single" w:color="D5D9E3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Tacómetro</w:t>
            </w:r>
          </w:p>
        </w:tc>
        <w:tc>
          <w:tcPr>
            <w:tcBorders>
              <w:top w:val="single" w:color="D5D9E3" w:sz="4"/>
              <w:left w:val="single" w:color="D5D9E3" w:sz="4"/>
              <w:bottom w:val="single" w:color="D5D9E3" w:sz="4"/>
              <w:right w:val="single" w:color="D5D9E3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± 5 rpm</w:t>
            </w:r>
          </w:p>
        </w:tc>
      </w:tr>
    </w:tbl>
    <w:p/>
    <w:p>
      <w:pPr>
        <w:pStyle w:val="Heading1"/>
      </w:pPr>
      <w:r>
        <w:t xml:space="preserve">Patrones</w:t>
      </w:r>
    </w:p>
    <w:p>
      <w:pPr>
        <w:spacing w:after="120"/>
      </w:pPr>
      <w:r>
        <w:rPr>
          <w:b w:val="false"/>
          <w:bCs w:val="false"/>
        </w:rPr>
        <w:t xml:space="preserve">Se utilizan patrones de referencia con certificado de calibración vigente y trazable a un laboratorio acreditado. Los certificados se archivan en la carpeta de Calidad de Planta Sur.</w:t>
      </w:r>
    </w:p>
    <w:p>
      <w:pPr>
        <w:pStyle w:val="Heading1"/>
      </w:pPr>
      <w:r>
        <w:t xml:space="preserve">Procedimiento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Verificar que el banco esté limpio, sin fugas y con el tanque de agua al nivel de operación.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Registrar la temperatura del agua; debe estar entre 15 °C y 30 °C.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Instalar el patrón en serie con el instrumento a calibrar.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Tomar lecturas en cinco puntos: 20%, 40%, 60%, 80% y 100% del rango.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Calcular el error de cada punto: (lectura del instrumento − lectura del patrón) / lectura del patrón.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Si algún punto excede la tolerancia, ajustar el instrumento y repetir la medición completa.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Si después del ajuste el instrumento sigue fuera de tolerancia, retirarlo y solicitar su reemplazo.</w:t>
      </w:r>
    </w:p>
    <w:p>
      <w:pPr>
        <w:pStyle w:val="Heading1"/>
      </w:pPr>
      <w:r>
        <w:t xml:space="preserve">Registro</w:t>
      </w:r>
    </w:p>
    <w:p>
      <w:pPr>
        <w:spacing w:after="120"/>
      </w:pPr>
      <w:r>
        <w:rPr>
          <w:b w:val="false"/>
          <w:bCs w:val="false"/>
        </w:rPr>
        <w:t xml:space="preserve">Los resultados se registran en el </w:t>
      </w:r>
      <w:r>
        <w:rPr>
          <w:b/>
          <w:bCs/>
        </w:rPr>
        <w:t xml:space="preserve">formato F-420</w:t>
      </w:r>
      <w:r>
        <w:rPr>
          <w:b w:val="false"/>
          <w:bCs w:val="false"/>
        </w:rPr>
        <w:t xml:space="preserve"> "Registro de calibración", con la firma del técnico de pruebas y del inspector de calidad. Se coloca en el banco una etiqueta verde con la fecha de calibración y la fecha de la siguiente calibración.</w:t>
      </w:r>
    </w:p>
    <w:p>
      <w:pPr>
        <w:pStyle w:val="Heading1"/>
      </w:pPr>
      <w:r>
        <w:t xml:space="preserve">Producto probado con un banco fuera de tolerancia</w:t>
      </w:r>
    </w:p>
    <w:p>
      <w:pPr>
        <w:spacing w:after="120"/>
      </w:pPr>
      <w:r>
        <w:rPr>
          <w:b w:val="false"/>
          <w:bCs w:val="false"/>
        </w:rPr>
        <w:t xml:space="preserve">Si durante una calibración se encuentra un instrumento fuera de tolerancia, Calidad debe identificar las bombas liberadas desde la calibración anterior y evaluar si es necesario volver a probarlas o notificar a los clientes, conforme al procedimiento de producto no conforme.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5"/>
        <w:sz w:val="16"/>
        <w:szCs w:val="16"/>
      </w:rPr>
      <w:t xml:space="preserve">Interna · Versión 1.8 · 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color w:val="6B7285"/>
        <w:sz w:val="16"/>
        <w:szCs w:val="16"/>
      </w:rPr>
      <w:t xml:space="preserve">Nexora Industrial S.A. · IT-OP-047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Instrucción de trabajo - Calibración de bancos de prueba</dc:title>
  <dc:creator>Elena Vargas</dc:creator>
  <dc:description>IT-OP-047</dc:description>
  <cp:lastModifiedBy>Un-named</cp:lastModifiedBy>
  <cp:revision>1</cp:revision>
  <dcterms:created xsi:type="dcterms:W3CDTF">2026-09-30T12:00:00.000Z</dcterms:created>
  <dcterms:modified xsi:type="dcterms:W3CDTF">2026-09-30T12:00:00.000Z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