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0"/>
        <w:gridCol w:w="2592"/>
        <w:gridCol w:w="4032"/>
        <w:gridCol w:w="4320"/>
      </w:tblGrid>
      <w:tr>
        <w:trPr>
          <w:trHeight w:val="360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Studies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Definition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Piece rate regime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Output per hour per worker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Naidenova et al. (2022); Wang et al. (2022); Hill et al. (2022)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Workers' wages vary according to the quantity they produce over a given period.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Earning per hour per worker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Zivin and Neidell (2012); Chang et al. (2016); Chen et al. (2021); Chen et al. (2025)</w:t>
            </w: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Output per worker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Value-added per year per worker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Bai et al. (2026); Zhou and Zhang (2023); He et al. (2026); Fu et al. (2021); Fu et al. (2022); Fu et al. (2017); Majumder et al. (2024)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Quantity produced by one unit of labor input over a given period, expressed either in physical output units or in monetary terms.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Output per year per 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Jiang et al. (2025); Wang et al. (2026); Hu et al. (2026); Jooste et al. (2022); Li et al. (2020)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Output per day per 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 et al. (2019); Batheja et al. (2025); Chang et al. (2019)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Output divided by targeted output per hour per worker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Adhvaryu et al. (2019)</w:t>
            </w:r>
          </w:p>
        </w:tc>
        <w:tc>
          <w:tcPr>
            <w:vMerge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Wage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Wage and business income per year per worker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Lin et al. (2024)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Earnings an individual derives from their job.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Nominal wage per year per worker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Drut and Mahieux (2015)</w:t>
            </w:r>
          </w:p>
        </w:tc>
        <w:tc>
          <w:tcPr>
            <w:vMerge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Hourly wage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 and Ji (2021)</w:t>
            </w:r>
          </w:p>
        </w:tc>
        <w:tc>
          <w:tcPr>
            <w:vMerge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spent per output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Hearing length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Samiento (2021)</w:t>
            </w:r>
          </w:p>
        </w:tc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required to resolve a case or reach a judgment.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Case length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Kahn and Li (2020)</w:t>
            </w:r>
          </w:p>
        </w:tc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Financial index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 S&amp;P return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Heyes et al. (2016)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Daily percentage return of the S&amp;P 500 index.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Abnormal trade performance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Huang et al. (2020)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Difference between the returns from stocks an investor buys and sells, after adjusting for expected returns.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Cognitive performance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Probability of correct call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Archsmith et al. (2018)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 number of correct calls divided by the total number of pitches called.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Flesch-Kincaid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Heyes et al. (2019)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Measures speech complexity by the number of years of education required to understand it.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correct answers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Krebs and Luechinger (2024)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correct answers given by a worker in an arithmetic game.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Forecast accuracy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Ali et al. (2025)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Absolute difference between actual and forecasted EPS, scaled by the stock price, and multiplied by −1,000; the higher the accuracy index, the more accurate the forecast.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Output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Firm's airflow per day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Goodenger et al. (2024)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Airflow from the factory’s centralized air compressor.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Number of administrative acts per day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Kountouris (2020)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Acts and decisions reported by the municipality per day.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Physical performance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Ball passes per match per player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Zhang et al. (2024); Lichter et al. (2017); Li et al. (2024)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 number of passes per match per player (goalkeepers excluded).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Shot attempts per match per player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Bakhtar et al. (2026)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The number of shot attempts per match per player.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Player efficiency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 et al. (2023)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Integrated index that assesses the efficiency of players, regarding their hit rate, free throws, three-pointers, assists, rebounds, blocks, steals, mistakes and fouls.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Finishing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Guo and Fu (2019); Naidenova et al. (2022)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Time needed to complete the race.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Standardized endurance performance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Mullins (2018)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−(absolute difference between the world record and the athlete’s result) / standard deviation of results for the event.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Xiao and Liu (2023)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Regional GDP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Zhou and Li (2021)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2026-09-21T12:19:00Z</dcterms:modified>
  <cp:category/>
</cp:coreProperties>
</file>