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 xml:space="preserve">Biodiversity Research Institute, IMIB (Univ. Oviedo-CSIC-Princ.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37A14BFA"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w:t>
      </w:r>
      <w:proofErr w:type="gramStart"/>
      <w:r w:rsidRPr="00B57645">
        <w:rPr>
          <w:rFonts w:eastAsia="Arial" w:cstheme="minorHAnsi"/>
        </w:rPr>
        <w:t>are generally subjected</w:t>
      </w:r>
      <w:proofErr w:type="gramEnd"/>
      <w:r w:rsidRPr="00B57645">
        <w:rPr>
          <w:rFonts w:eastAsia="Arial" w:cstheme="minorHAnsi"/>
        </w:rPr>
        <w:t xml:space="preserve"> to harsh conditions such as freezing temperatures, snow cover and strong winds, despite regional and latitudinal variation (Körner et al. 2017). Recently, it has been noted that the abundance and distribution of alpine plants strongly depends on micro-topographic variation, which accounts for drastic changes in temperature and related factors (</w:t>
      </w:r>
      <w:proofErr w:type="spellStart"/>
      <w:r w:rsidRPr="00B57645">
        <w:rPr>
          <w:rFonts w:eastAsia="Arial" w:cstheme="minorHAnsi"/>
        </w:rPr>
        <w:t>Scherrer</w:t>
      </w:r>
      <w:proofErr w:type="spellEnd"/>
      <w:r w:rsidRPr="00B57645">
        <w:rPr>
          <w:rFonts w:eastAsia="Arial" w:cstheme="minorHAnsi"/>
        </w:rPr>
        <w:t xml:space="preserve"> &amp; </w:t>
      </w:r>
      <w:proofErr w:type="spellStart"/>
      <w:r w:rsidRPr="00B57645">
        <w:rPr>
          <w:rFonts w:eastAsia="Arial" w:cstheme="minorHAnsi"/>
        </w:rPr>
        <w:t>Körner</w:t>
      </w:r>
      <w:proofErr w:type="spellEnd"/>
      <w:r w:rsidRPr="00B57645">
        <w:rPr>
          <w:rFonts w:eastAsia="Arial" w:cstheme="minorHAnsi"/>
        </w:rPr>
        <w:t xml:space="preserve"> 2010; </w:t>
      </w:r>
      <w:proofErr w:type="spellStart"/>
      <w:r w:rsidRPr="00B57645">
        <w:rPr>
          <w:rFonts w:eastAsia="Arial" w:cstheme="minorHAnsi"/>
        </w:rPr>
        <w:t>Kulonen</w:t>
      </w:r>
      <w:proofErr w:type="spellEnd"/>
      <w:r w:rsidRPr="00B57645">
        <w:rPr>
          <w:rFonts w:eastAsia="Arial" w:cstheme="minorHAnsi"/>
        </w:rPr>
        <w:t xml:space="preserve"> et al. 2018). An increasing number of studies have reported relationships between micro-habitat variation and the compositional and functional diversity of alpine plant communities (e.g. Choler 2005; Opedal et al. 2014; Stark et al. 2017; Blonder et al. 2018) but functional approaches have mostly focused on adult-plant traits. At the regeneration stage, studies suggested that the seed germination niche is influenced by micro-site temperature and snow cover (Fernández-Pascual et al. 2016) and soil bedrock (</w:t>
      </w:r>
      <w:proofErr w:type="spellStart"/>
      <w:r w:rsidRPr="00B57645">
        <w:rPr>
          <w:rFonts w:eastAsia="Arial" w:cstheme="minorHAnsi"/>
        </w:rPr>
        <w:t>Tudela-Isanta</w:t>
      </w:r>
      <w:proofErr w:type="spellEnd"/>
      <w:r w:rsidRPr="00B57645">
        <w:rPr>
          <w:rFonts w:eastAsia="Arial" w:cstheme="minorHAnsi"/>
        </w:rPr>
        <w:t xml:space="preserve"> et al. 2018). Relatively higher temperatures at the microsite also may determine </w:t>
      </w:r>
      <w:sdt>
        <w:sdtPr>
          <w:rPr>
            <w:rFonts w:cstheme="minorHAnsi"/>
          </w:rPr>
          <w:tag w:val="goog_rdk_8"/>
          <w:id w:val="30777417"/>
        </w:sdtPr>
        <w:sdtEndPr/>
        <w:sdtContent/>
      </w:sdt>
      <w:r w:rsidRPr="00B57645">
        <w:rPr>
          <w:rFonts w:eastAsia="Arial" w:cstheme="minorHAnsi"/>
        </w:rPr>
        <w:t>shifts in germination timing</w:t>
      </w:r>
      <w:r w:rsidR="007F16FC">
        <w:rPr>
          <w:rFonts w:eastAsia="Arial" w:cstheme="minorHAnsi"/>
        </w:rPr>
        <w:t xml:space="preserve"> (</w:t>
      </w:r>
      <w:r w:rsidR="007F16FC" w:rsidRPr="007F16FC">
        <w:rPr>
          <w:rFonts w:eastAsia="Arial" w:cstheme="minorHAnsi"/>
          <w:highlight w:val="yellow"/>
        </w:rPr>
        <w:t>Espinosa del Alba et al. 2024</w:t>
      </w:r>
      <w:r w:rsidR="007F16FC">
        <w:rPr>
          <w:rFonts w:eastAsia="Arial" w:cstheme="minorHAnsi"/>
        </w:rPr>
        <w:t>)</w:t>
      </w:r>
      <w:r w:rsidRPr="00B57645">
        <w:rPr>
          <w:rFonts w:eastAsia="Arial" w:cstheme="minorHAnsi"/>
        </w:rPr>
        <w:t xml:space="preserve"> and increasing recruitment of alpine populations in both temperate (Mondoni et al. 2015) and Mediterranean (Giménez-Benavides et al. 2018) systems.</w:t>
      </w:r>
    </w:p>
    <w:p w14:paraId="255DF349" w14:textId="6EF067E6" w:rsidR="00B90312" w:rsidRPr="00B57645" w:rsidRDefault="0070071A" w:rsidP="00C106C5">
      <w:pPr>
        <w:spacing w:line="480" w:lineRule="auto"/>
        <w:jc w:val="both"/>
        <w:rPr>
          <w:rFonts w:eastAsia="Arial" w:cstheme="minorHAnsi"/>
        </w:rPr>
      </w:pPr>
      <w:r w:rsidRPr="00B57645">
        <w:rPr>
          <w:rFonts w:eastAsia="Arial" w:cstheme="minorHAnsi"/>
        </w:rPr>
        <w:t xml:space="preserve">Understanding the role of seed-trait variation in alpine plant diversity will benefit </w:t>
      </w:r>
      <w:sdt>
        <w:sdtPr>
          <w:rPr>
            <w:rFonts w:cstheme="minorHAnsi"/>
          </w:rPr>
          <w:tag w:val="goog_rdk_10"/>
          <w:id w:val="-750579298"/>
        </w:sdtPr>
        <w:sdtEndPr/>
        <w:sdtContent>
          <w:r w:rsidRPr="00B57645">
            <w:rPr>
              <w:rFonts w:eastAsia="Arial" w:cstheme="minorHAnsi"/>
            </w:rPr>
            <w:t>from</w:t>
          </w:r>
        </w:sdtContent>
      </w:sdt>
      <w:sdt>
        <w:sdtPr>
          <w:rPr>
            <w:rFonts w:cstheme="minorHAnsi"/>
          </w:rPr>
          <w:tag w:val="goog_rdk_11"/>
          <w:id w:val="909274479"/>
          <w:showingPlcHdr/>
        </w:sdtPr>
        <w:sdtEnd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Saatkamp et al. 2019). Despite multiple theories and modelling approaches in community ecology, empirical research based on observational or experimental data </w:t>
      </w:r>
      <w:sdt>
        <w:sdtPr>
          <w:rPr>
            <w:rFonts w:cstheme="minorHAnsi"/>
          </w:rPr>
          <w:tag w:val="goog_rdk_12"/>
          <w:id w:val="-1652827221"/>
        </w:sdtPr>
        <w:sdtEnd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w:t>
      </w:r>
      <w:proofErr w:type="spellStart"/>
      <w:r w:rsidRPr="00B57645">
        <w:rPr>
          <w:rFonts w:eastAsia="Arial" w:cstheme="minorHAnsi"/>
        </w:rPr>
        <w:t>Vellend</w:t>
      </w:r>
      <w:proofErr w:type="spellEnd"/>
      <w:r w:rsidRPr="00B57645">
        <w:rPr>
          <w:rFonts w:eastAsia="Arial" w:cstheme="minorHAnsi"/>
        </w:rPr>
        <w:t xml:space="preserve"> 2016). However, the conceptual framework of community assembly may be limited by the lack of seed-trait studies addressing the co-occurrence of plants as the result of regional and local processes such as dispersal, environmental filtering and species interactions (Götzenberger et al. 201</w:t>
      </w:r>
      <w:sdt>
        <w:sdtPr>
          <w:rPr>
            <w:rFonts w:cstheme="minorHAnsi"/>
          </w:rPr>
          <w:tag w:val="goog_rdk_16"/>
          <w:id w:val="-403298020"/>
        </w:sdtPr>
        <w:sdtEnd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may not be the same for all </w:t>
      </w:r>
      <w:r w:rsidR="00B67D27" w:rsidRPr="00B57645">
        <w:rPr>
          <w:rFonts w:eastAsia="Arial" w:cstheme="minorHAnsi"/>
        </w:rPr>
        <w:lastRenderedPageBreak/>
        <w:t>species living in the same habitat, determining spatial and temporal heterogeneity in this key selective process</w:t>
      </w:r>
      <w:r w:rsidR="00AD3CAF">
        <w:rPr>
          <w:rFonts w:eastAsia="Arial" w:cstheme="minorHAnsi"/>
        </w:rPr>
        <w:t>.</w:t>
      </w:r>
    </w:p>
    <w:p w14:paraId="2178CDFB" w14:textId="68EF4663" w:rsidR="00941523" w:rsidRPr="00B57645" w:rsidRDefault="00941523" w:rsidP="00C106C5">
      <w:pPr>
        <w:spacing w:line="480" w:lineRule="auto"/>
        <w:jc w:val="both"/>
        <w:rPr>
          <w:rFonts w:eastAsia="Arial" w:cstheme="minorHAnsi"/>
        </w:rPr>
      </w:pPr>
      <w:r w:rsidRPr="00B57645">
        <w:rPr>
          <w:rFonts w:eastAsia="Arial" w:cstheme="minorHAnsi"/>
        </w:rPr>
        <w:t>The question of functional filtering in seeds can be addressed by exploring niche differentiation, a process by which co-occurring species may use the environment differently to avoid competition. Alpine communities are subjected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Scherrer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micro-habitats (</w:t>
      </w:r>
      <w:proofErr w:type="spellStart"/>
      <w:r w:rsidRPr="00B57645">
        <w:rPr>
          <w:rFonts w:eastAsia="Arial" w:cstheme="minorHAnsi"/>
        </w:rPr>
        <w:t>Hülber</w:t>
      </w:r>
      <w:proofErr w:type="spellEnd"/>
      <w:r w:rsidRPr="00B57645">
        <w:rPr>
          <w:rFonts w:eastAsia="Arial" w:cstheme="minorHAnsi"/>
        </w:rPr>
        <w:t xml:space="preserve"> et al. 2018). So far, we do not know whether regeneration stages may follow similar or different strategies in alpine plants, and if regeneration traits can provide additional insights into assembly processes, in particular at the level of microsite variation</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conditions which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is generally determined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Fernández-Pascual et al. 2017b). It follows that communities that differ in their environmental filters for seedling establishment </w:t>
      </w:r>
      <w:r w:rsidRPr="00B57645">
        <w:rPr>
          <w:lang w:val="en-US" w:eastAsia="ca-ES"/>
        </w:rPr>
        <w:lastRenderedPageBreak/>
        <w:t>should also differ in the shape of their germination niches (Jurado &amp; Flores 2005). The stronger the environmental filters are,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be assessed at the microsite level. For example, many alpine species have been found able to germinate in conditions indicative of snow cover, such as 0 ºC and darkness (Giménez-Benavides et al. 2005; Shimono &amp; Kudo 2005). This has been portrayed as a strategy of snow field species, while exposed species of the same community would germinate at higher temperatures and after a dormancy-breaking season (Fernández-Pascual et al. 2017a).</w:t>
      </w:r>
    </w:p>
    <w:p w14:paraId="788A4633" w14:textId="77777777"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proofErr w:type="spellStart"/>
      <w:r w:rsidRPr="006F1ACF">
        <w:rPr>
          <w:rFonts w:asciiTheme="minorHAnsi" w:eastAsiaTheme="minorHAnsi" w:hAnsiTheme="minorHAnsi" w:cstheme="minorBidi"/>
          <w:color w:val="auto"/>
          <w:sz w:val="22"/>
          <w:szCs w:val="22"/>
          <w:lang w:val="en-US" w:eastAsia="ca-ES"/>
        </w:rPr>
        <w:t>hypothesise</w:t>
      </w:r>
      <w:proofErr w:type="spellEnd"/>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temperatures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According to the co-existence theory of Grubb (1977), niche differentiation may be different between communities with higher versus lower resources and competition (e.g. fellfields versus </w:t>
      </w:r>
      <w:proofErr w:type="spellStart"/>
      <w:r w:rsidRPr="006F1ACF">
        <w:rPr>
          <w:rFonts w:asciiTheme="minorHAnsi" w:eastAsiaTheme="minorHAnsi" w:hAnsiTheme="minorHAnsi" w:cstheme="minorBidi"/>
          <w:color w:val="auto"/>
          <w:sz w:val="22"/>
          <w:szCs w:val="22"/>
          <w:lang w:val="en-US" w:eastAsia="ca-ES"/>
        </w:rPr>
        <w:t>snowbeds</w:t>
      </w:r>
      <w:proofErr w:type="spellEnd"/>
      <w:r w:rsidRPr="006F1ACF">
        <w:rPr>
          <w:rFonts w:asciiTheme="minorHAnsi" w:eastAsiaTheme="minorHAnsi" w:hAnsiTheme="minorHAnsi" w:cstheme="minorBidi"/>
          <w:color w:val="auto"/>
          <w:sz w:val="22"/>
          <w:szCs w:val="22"/>
          <w:lang w:val="en-US" w:eastAsia="ca-ES"/>
        </w:rPr>
        <w:t>).</w:t>
      </w:r>
    </w:p>
    <w:p w14:paraId="5F82B3D1" w14:textId="4153AA51" w:rsidR="00C106C5" w:rsidRPr="00C106C5" w:rsidRDefault="00C106C5" w:rsidP="00C106C5">
      <w:pPr>
        <w:spacing w:line="480" w:lineRule="auto"/>
        <w:jc w:val="both"/>
        <w:rPr>
          <w:lang w:val="en-US" w:eastAsia="ca-ES"/>
        </w:rPr>
      </w:pPr>
      <w:r>
        <w:rPr>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22FDD4D7" w14:textId="3960E475" w:rsidR="00D70AD0" w:rsidRDefault="00901009" w:rsidP="00C106C5">
      <w:pPr>
        <w:spacing w:line="48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w:t>
      </w:r>
      <w:proofErr w:type="spellStart"/>
      <w:r w:rsidRPr="00901009">
        <w:rPr>
          <w:rFonts w:cstheme="minorHAnsi"/>
        </w:rPr>
        <w:t>a.s.l</w:t>
      </w:r>
      <w:proofErr w:type="spellEnd"/>
      <w:r w:rsidRPr="00901009">
        <w:rPr>
          <w:rFonts w:cstheme="minorHAnsi"/>
        </w:rPr>
        <w:t xml:space="preserve">. in the Cantabrian Mountains. This mountain range,  running E-W in northern Spain, is considered a </w:t>
      </w:r>
      <w:r w:rsidRPr="00901009">
        <w:rPr>
          <w:rFonts w:cstheme="minorHAnsi"/>
        </w:rPr>
        <w:lastRenderedPageBreak/>
        <w:t xml:space="preserve">transitional biogeographical hub between Eurosiberian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Picos de Europa National Park (NE of the Cantabrian mountains, </w:t>
      </w:r>
      <w:r w:rsidRPr="00901009">
        <w:rPr>
          <w:rFonts w:cstheme="minorHAnsi"/>
          <w:highlight w:val="yellow"/>
        </w:rPr>
        <w:t>Fig.1a</w:t>
      </w:r>
      <w:r w:rsidRPr="00901009">
        <w:rPr>
          <w:rFonts w:cstheme="minorHAnsi"/>
        </w:rPr>
        <w:t xml:space="preserve"> in green); and (2) Mediterranean high mountain acidic grasslands in the Valles de Omaña and Luna Biosphere Reserve (SW of the Cantabrian mountains, </w:t>
      </w:r>
      <w:r w:rsidRPr="00901009">
        <w:rPr>
          <w:rFonts w:cstheme="minorHAnsi"/>
          <w:highlight w:val="yellow"/>
        </w:rPr>
        <w:t>Fig.1a</w:t>
      </w:r>
      <w:r w:rsidRPr="00901009">
        <w:rPr>
          <w:rFonts w:cstheme="minorHAnsi"/>
        </w:rPr>
        <w:t xml:space="preserve"> in yellow). Alpine </w:t>
      </w:r>
      <w:r w:rsidR="005B142C">
        <w:rPr>
          <w:rFonts w:cstheme="minorHAnsi"/>
        </w:rPr>
        <w:t>grassland</w:t>
      </w:r>
      <w:r w:rsidRPr="00901009">
        <w:rPr>
          <w:rFonts w:cstheme="minorHAnsi"/>
        </w:rPr>
        <w:t xml:space="preserve"> communities in the Cantabrian Mountains are dominated mostly by </w:t>
      </w:r>
      <w:proofErr w:type="spellStart"/>
      <w:r w:rsidRPr="00901009">
        <w:rPr>
          <w:rFonts w:cstheme="minorHAnsi"/>
          <w:i/>
          <w:iCs/>
        </w:rPr>
        <w:t>Poaceae</w:t>
      </w:r>
      <w:proofErr w:type="spellEnd"/>
      <w:r w:rsidRPr="00901009">
        <w:rPr>
          <w:rFonts w:cstheme="minorHAnsi"/>
        </w:rPr>
        <w:t xml:space="preserve"> and </w:t>
      </w:r>
      <w:proofErr w:type="spellStart"/>
      <w:r w:rsidRPr="00901009">
        <w:rPr>
          <w:rFonts w:cstheme="minorHAnsi"/>
          <w:i/>
          <w:iCs/>
        </w:rPr>
        <w:t>Cyperaceae</w:t>
      </w:r>
      <w:proofErr w:type="spellEnd"/>
      <w:r w:rsidRPr="00901009">
        <w:rPr>
          <w:rFonts w:cstheme="minorHAnsi"/>
        </w:rPr>
        <w:t xml:space="preserve">, and </w:t>
      </w:r>
      <w:r w:rsidR="005B142C">
        <w:rPr>
          <w:rFonts w:cstheme="minorHAnsi"/>
        </w:rPr>
        <w:t>lifeforms</w:t>
      </w:r>
      <w:r w:rsidRPr="00901009">
        <w:rPr>
          <w:rFonts w:cstheme="minorHAnsi"/>
        </w:rPr>
        <w:t xml:space="preserve"> are mainly Hemicryptophytes and Chamaephytes. Grazing impact is restricted to wild populations of Cantabrian chamois (</w:t>
      </w:r>
      <w:proofErr w:type="spellStart"/>
      <w:r w:rsidRPr="00901009">
        <w:rPr>
          <w:rFonts w:cstheme="minorHAnsi"/>
          <w:i/>
          <w:iCs/>
        </w:rPr>
        <w:t>Rupricapra</w:t>
      </w:r>
      <w:proofErr w:type="spellEnd"/>
      <w:r w:rsidRPr="00901009">
        <w:rPr>
          <w:rFonts w:cstheme="minorHAnsi"/>
          <w:i/>
          <w:iCs/>
        </w:rPr>
        <w:t xml:space="preserve"> </w:t>
      </w:r>
      <w:proofErr w:type="spellStart"/>
      <w:r w:rsidRPr="00901009">
        <w:rPr>
          <w:rFonts w:cstheme="minorHAnsi"/>
          <w:i/>
          <w:iCs/>
        </w:rPr>
        <w:t>pyrenaica</w:t>
      </w:r>
      <w:proofErr w:type="spellEnd"/>
      <w:r w:rsidRPr="00901009">
        <w:rPr>
          <w:rFonts w:cstheme="minorHAnsi"/>
          <w:i/>
          <w:iCs/>
        </w:rPr>
        <w:t xml:space="preserve"> </w:t>
      </w:r>
      <w:proofErr w:type="spellStart"/>
      <w:r w:rsidRPr="00901009">
        <w:rPr>
          <w:rFonts w:cstheme="minorHAnsi"/>
          <w:i/>
          <w:iCs/>
        </w:rPr>
        <w:t>parva</w:t>
      </w:r>
      <w:proofErr w:type="spellEnd"/>
      <w:r w:rsidR="00D70AD0">
        <w:rPr>
          <w:rFonts w:cstheme="minorHAnsi"/>
        </w:rPr>
        <w:t>) in both systems.</w:t>
      </w:r>
      <w:r w:rsidR="00D70AD0">
        <w:rPr>
          <w:noProof/>
          <w:lang w:val="ca-ES" w:eastAsia="ca-ES"/>
        </w:rPr>
        <w:drawing>
          <wp:inline distT="0" distB="0" distL="0" distR="0" wp14:anchorId="3ED5C28A" wp14:editId="2994EF77">
            <wp:extent cx="5381625" cy="1695450"/>
            <wp:effectExtent l="0" t="0" r="9525" b="0"/>
            <wp:docPr id="13351756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1625" cy="1695450"/>
                    </a:xfrm>
                    <a:prstGeom prst="rect">
                      <a:avLst/>
                    </a:prstGeom>
                    <a:noFill/>
                    <a:ln>
                      <a:noFill/>
                    </a:ln>
                  </pic:spPr>
                </pic:pic>
              </a:graphicData>
            </a:graphic>
          </wp:inline>
        </w:drawing>
      </w:r>
      <w:r w:rsidR="00D70AD0">
        <w:rPr>
          <w:noProof/>
          <w:lang w:val="ca-ES" w:eastAsia="ca-ES"/>
        </w:rPr>
        <w:drawing>
          <wp:inline distT="0" distB="0" distL="0" distR="0" wp14:anchorId="1FB788B9" wp14:editId="5F04F008">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sidR="00D70AD0">
        <w:rPr>
          <w:noProof/>
          <w:lang w:val="ca-ES" w:eastAsia="ca-ES"/>
        </w:rPr>
        <w:drawing>
          <wp:inline distT="0" distB="0" distL="0" distR="0" wp14:anchorId="02B64153" wp14:editId="24F4AE46">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2EB7ED57" w14:textId="775DAC2A"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w:t>
      </w:r>
      <w:r>
        <w:rPr>
          <w:rFonts w:cstheme="minorHAnsi"/>
        </w:rPr>
        <w:lastRenderedPageBreak/>
        <w:t xml:space="preserve">mean temperature &gt; 5ºC at 5 cm deep in the soil (Körner, 2021). Mean annual soil temperature at 5 cm deep, based on 4 location per system and 3+ years (own data not shown). Summer precipitation, based on 47 locations from CHELSA 2.1 (bio 17). Local richness calculated from floristic relevés recorded in the 80 </w:t>
      </w:r>
      <w:r w:rsidR="008F1F3B">
        <w:rPr>
          <w:rFonts w:cstheme="minorHAnsi"/>
        </w:rPr>
        <w:t>1 m</w:t>
      </w:r>
      <w:r w:rsidR="008F1F3B" w:rsidRPr="008F1F3B">
        <w:rPr>
          <w:rFonts w:cstheme="minorHAnsi"/>
          <w:vertAlign w:val="superscript"/>
        </w:rPr>
        <w:t>2</w:t>
      </w:r>
      <w:r w:rsidR="008F1F3B">
        <w:rPr>
          <w:rFonts w:cstheme="minorHAnsi"/>
        </w:rPr>
        <w:t xml:space="preserve"> </w:t>
      </w:r>
      <w:r>
        <w:rPr>
          <w:rFonts w:cstheme="minorHAnsi"/>
        </w:rPr>
        <w:t>plots.</w:t>
      </w:r>
      <w:r w:rsidR="008F1F3B">
        <w:rPr>
          <w:rFonts w:cstheme="minorHAnsi"/>
        </w:rPr>
        <w:t xml:space="preserve"> Dominant species also based on the same floristic relevés,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7FEA6B10" w14:textId="4C19CCCA" w:rsidR="00E005DE"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Pr="00F95F23">
        <w:rPr>
          <w:rFonts w:eastAsia="Times New Roman" w:cstheme="minorHAnsi"/>
          <w:color w:val="000000"/>
          <w:lang w:eastAsia="ca-ES"/>
        </w:rPr>
        <w:t>system</w:t>
      </w:r>
      <w:proofErr w:type="gramEnd"/>
      <w:r w:rsidRPr="00F95F23">
        <w:rPr>
          <w:rFonts w:eastAsia="Times New Roman" w:cstheme="minorHAnsi"/>
          <w:color w:val="000000"/>
          <w:lang w:eastAsia="ca-ES"/>
        </w:rPr>
        <w:t xml:space="preserve"> we established four seed sampling sites, separated at least 500 m</w:t>
      </w:r>
      <w:r>
        <w:t>. To measure the spatial microenvironmental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Here, we also did floristic relevés</w:t>
      </w:r>
      <w:r w:rsidR="00E005DE" w:rsidRPr="00E005DE">
        <w:t xml:space="preserve"> </w:t>
      </w:r>
      <w:r w:rsidR="005B142C">
        <w:t>identifying all vascular plants and estimating their relative cover in %</w:t>
      </w:r>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system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w:t>
      </w:r>
      <w:r w:rsidR="00E005DE">
        <w:lastRenderedPageBreak/>
        <w:t>Mediterranean system</w:t>
      </w:r>
      <w:r w:rsidR="00E005DE" w:rsidRPr="003407A9">
        <w:t>. In total, we collected floristic data from 8</w:t>
      </w:r>
      <w:r w:rsidR="00E005DE">
        <w:t>0</w:t>
      </w:r>
      <w:r w:rsidR="00E005DE" w:rsidRPr="003407A9">
        <w:t xml:space="preserve"> plots </w:t>
      </w:r>
      <w:r w:rsidR="00E005DE">
        <w:t xml:space="preserve">per system. Not all </w:t>
      </w:r>
      <w:proofErr w:type="spellStart"/>
      <w:r w:rsidR="00E005DE">
        <w:t>iButtons</w:t>
      </w:r>
      <w:proofErr w:type="spellEnd"/>
      <w:r w:rsidR="00E005DE">
        <w:t xml:space="preserve"> could be recovered,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DBF7BCB" w:rsidR="008F1F3B" w:rsidRPr="003407A9" w:rsidRDefault="008F1F3B" w:rsidP="00C106C5">
      <w:pPr>
        <w:spacing w:line="480" w:lineRule="auto"/>
        <w:ind w:firstLine="709"/>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 xml:space="preserve">We calculated bioclimatic indices based on standard variables used by </w:t>
      </w:r>
      <w:proofErr w:type="spellStart"/>
      <w:r w:rsidRPr="00774B6B">
        <w:t>WorldClim</w:t>
      </w:r>
      <w:proofErr w:type="spellEnd"/>
      <w:r w:rsidRPr="00774B6B">
        <w:t xml:space="preserve"> (Fick &amp; </w:t>
      </w:r>
      <w:proofErr w:type="spellStart"/>
      <w:r w:rsidRPr="00774B6B">
        <w:t>Hijmans</w:t>
      </w:r>
      <w:proofErr w:type="spellEnd"/>
      <w:r w:rsidRPr="00774B6B">
        <w:t xml:space="preserve"> 2017), together with other variables with a relevant function on alpine topographic gradients. 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(Körner 2021).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4F336980" w:rsidR="004D1D44" w:rsidRDefault="008F1F3B" w:rsidP="00C106C5">
      <w:pPr>
        <w:spacing w:line="480" w:lineRule="auto"/>
        <w:ind w:firstLine="709"/>
        <w:jc w:val="both"/>
      </w:pPr>
      <w:r>
        <w:t>We then used the floristic relevés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were weighted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(fig xx)</w:t>
      </w:r>
      <w:r w:rsidR="00360E8A">
        <w:t>.</w:t>
      </w:r>
    </w:p>
    <w:p w14:paraId="2AB4B327" w14:textId="5EB47798" w:rsidR="001E2B4D" w:rsidRPr="001E2B4D" w:rsidRDefault="001E2B4D" w:rsidP="00C106C5">
      <w:pPr>
        <w:spacing w:line="480" w:lineRule="auto"/>
        <w:jc w:val="both"/>
        <w:rPr>
          <w:lang w:val="es-ES"/>
        </w:rPr>
      </w:pPr>
      <w:r w:rsidRPr="001E2B4D">
        <w:rPr>
          <w:noProof/>
          <w:lang w:val="ca-ES" w:eastAsia="ca-ES"/>
        </w:rPr>
        <w:lastRenderedPageBreak/>
        <w:drawing>
          <wp:inline distT="0" distB="0" distL="0" distR="0" wp14:anchorId="2BDBCF84" wp14:editId="5C504054">
            <wp:extent cx="5400040" cy="2700020"/>
            <wp:effectExtent l="0" t="0" r="0" b="5080"/>
            <wp:docPr id="1312673568"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3568" name="Imagen 1" descr="Gráfico, Gráfico de dispersión&#10;&#10;Descripción generada automá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1D9C123" w14:textId="77777777" w:rsidR="001E2B4D" w:rsidRPr="004D1D44" w:rsidRDefault="001E2B4D" w:rsidP="00C106C5">
      <w:pPr>
        <w:spacing w:line="480" w:lineRule="auto"/>
        <w:jc w:val="both"/>
      </w:pPr>
    </w:p>
    <w:p w14:paraId="19DC9F81" w14:textId="6C10F21F"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did a floristic relevé</w:t>
      </w:r>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directly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n the Mediterranean system,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r w:rsidR="004D1D44">
        <w:rPr>
          <w:rFonts w:eastAsia="Times New Roman" w:cstheme="minorHAnsi"/>
          <w:color w:val="000000"/>
          <w:lang w:eastAsia="ca-ES"/>
        </w:rPr>
        <w:t>was collected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099411B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BF4934">
        <w:rPr>
          <w:rFonts w:eastAsia="Times New Roman"/>
          <w:lang w:eastAsia="ca-ES"/>
        </w:rPr>
        <w:t>s</w:t>
      </w:r>
      <w:r w:rsidR="00CD2694">
        <w:rPr>
          <w:rFonts w:eastAsia="Times New Roman"/>
          <w:lang w:eastAsia="ca-ES"/>
        </w:rPr>
        <w:t xml:space="preserve"> treatments </w:t>
      </w:r>
    </w:p>
    <w:p w14:paraId="0FBBA4DC" w14:textId="72E94704" w:rsidR="00D2759C"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t>
      </w:r>
      <w:r w:rsidR="00C30CA3">
        <w:rPr>
          <w:rFonts w:eastAsia="Times New Roman" w:cstheme="minorHAnsi"/>
          <w:color w:val="000000"/>
          <w:lang w:eastAsia="ca-ES"/>
        </w:rPr>
        <w:lastRenderedPageBreak/>
        <w:t>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control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7F16FC" w:rsidRPr="007F16FC">
        <w:rPr>
          <w:rFonts w:eastAsia="Times New Roman" w:cstheme="minorHAnsi"/>
          <w:color w:val="000000"/>
          <w:highlight w:val="yellow"/>
          <w:lang w:eastAsia="ca-ES"/>
        </w:rPr>
        <w:t xml:space="preserve">Espinosa </w:t>
      </w:r>
      <w:proofErr w:type="gramStart"/>
      <w:r w:rsidR="007F16FC" w:rsidRPr="007F16FC">
        <w:rPr>
          <w:rFonts w:eastAsia="Times New Roman" w:cstheme="minorHAnsi"/>
          <w:color w:val="000000"/>
          <w:highlight w:val="yellow"/>
          <w:lang w:eastAsia="ca-ES"/>
        </w:rPr>
        <w:t>del</w:t>
      </w:r>
      <w:proofErr w:type="gramEnd"/>
      <w:r w:rsidR="007F16FC" w:rsidRPr="007F16FC">
        <w:rPr>
          <w:rFonts w:eastAsia="Times New Roman" w:cstheme="minorHAnsi"/>
          <w:color w:val="000000"/>
          <w:highlight w:val="yellow"/>
          <w:lang w:eastAsia="ca-ES"/>
        </w:rPr>
        <w:t xml:space="preserve"> Alba et al. 2024</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7F16FC">
        <w:rPr>
          <w:rFonts w:eastAsia="Times New Roman" w:cstheme="minorHAnsi"/>
          <w:color w:val="000000"/>
          <w:lang w:eastAsia="ca-ES"/>
        </w:rPr>
        <w:t xml:space="preserve">all </w:t>
      </w:r>
      <w:r w:rsidR="00D37C45">
        <w:rPr>
          <w:rFonts w:eastAsia="Times New Roman" w:cstheme="minorHAnsi"/>
          <w:color w:val="000000"/>
          <w:lang w:eastAsia="ca-ES"/>
        </w:rPr>
        <w:t xml:space="preserve">species could be divided </w:t>
      </w:r>
      <w:r w:rsidR="007F16FC">
        <w:rPr>
          <w:rFonts w:eastAsia="Times New Roman" w:cstheme="minorHAnsi"/>
          <w:color w:val="000000"/>
          <w:lang w:eastAsia="ca-ES"/>
        </w:rPr>
        <w:t xml:space="preserve">in two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(1)</w:t>
      </w:r>
      <w:r w:rsidR="00E22B87">
        <w:rPr>
          <w:rFonts w:eastAsia="Times New Roman" w:cstheme="minorHAnsi"/>
          <w:color w:val="000000"/>
          <w:lang w:eastAsia="ca-ES"/>
        </w:rPr>
        <w:t xml:space="preserve">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t>
      </w:r>
      <w:r w:rsidR="007F16FC">
        <w:rPr>
          <w:rFonts w:eastAsia="Times New Roman" w:cstheme="minorHAnsi"/>
          <w:color w:val="000000"/>
          <w:lang w:eastAsia="ca-ES"/>
        </w:rPr>
        <w:t xml:space="preserve">(2) </w:t>
      </w:r>
      <w:r w:rsidR="00E22B87">
        <w:rPr>
          <w:rFonts w:eastAsia="Times New Roman" w:cstheme="minorHAnsi"/>
          <w:color w:val="000000"/>
          <w:lang w:eastAsia="ca-ES"/>
        </w:rPr>
        <w:t>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The two temperature regimes</w:t>
      </w:r>
      <w:r w:rsidR="007F16FC">
        <w:rPr>
          <w:rFonts w:eastAsia="Times New Roman" w:cstheme="minorHAnsi"/>
          <w:color w:val="000000"/>
          <w:lang w:eastAsia="ca-ES"/>
        </w:rPr>
        <w:t xml:space="preserve"> </w:t>
      </w:r>
      <w:proofErr w:type="gramStart"/>
      <w:r w:rsidR="007F16FC">
        <w:rPr>
          <w:rFonts w:eastAsia="Times New Roman" w:cstheme="minorHAnsi"/>
          <w:color w:val="000000"/>
          <w:lang w:eastAsia="ca-ES"/>
        </w:rPr>
        <w:t>were programmed</w:t>
      </w:r>
      <w:proofErr w:type="gramEnd"/>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cold-stratification pretreatment</w:t>
      </w:r>
      <w:r w:rsidR="008F71C3">
        <w:rPr>
          <w:rFonts w:eastAsia="Times New Roman" w:cstheme="minorHAnsi"/>
          <w:color w:val="000000"/>
          <w:lang w:eastAsia="ca-ES"/>
        </w:rPr>
        <w:t xml:space="preserve"> at 0ºC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pretreatment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w:t>
      </w:r>
      <w:r w:rsidR="00BF4934" w:rsidRPr="007F16FC">
        <w:rPr>
          <w:rFonts w:eastAsia="Times New Roman" w:cstheme="minorHAnsi"/>
          <w:color w:val="000000"/>
          <w:highlight w:val="yellow"/>
          <w:lang w:eastAsia="ca-ES"/>
        </w:rPr>
        <w:t xml:space="preserve">Espinosa </w:t>
      </w:r>
      <w:proofErr w:type="gramStart"/>
      <w:r w:rsidR="00BF4934" w:rsidRPr="007F16FC">
        <w:rPr>
          <w:rFonts w:eastAsia="Times New Roman" w:cstheme="minorHAnsi"/>
          <w:color w:val="000000"/>
          <w:highlight w:val="yellow"/>
          <w:lang w:eastAsia="ca-ES"/>
        </w:rPr>
        <w:t>del</w:t>
      </w:r>
      <w:proofErr w:type="gramEnd"/>
      <w:r w:rsidR="00BF4934" w:rsidRPr="007F16FC">
        <w:rPr>
          <w:rFonts w:eastAsia="Times New Roman" w:cstheme="minorHAnsi"/>
          <w:color w:val="000000"/>
          <w:highlight w:val="yellow"/>
          <w:lang w:eastAsia="ca-ES"/>
        </w:rPr>
        <w:t xml:space="preserve"> Alba et al. 2024</w:t>
      </w:r>
      <w:r w:rsidR="00BB5BF3">
        <w:rPr>
          <w:rFonts w:eastAsia="Times New Roman" w:cstheme="minorHAnsi"/>
          <w:color w:val="000000"/>
          <w:lang w:eastAsia="ca-ES"/>
        </w:rPr>
        <w:t xml:space="preserve">) and ensure dormancy breaking. For the pretreatment,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were sealed with parafilm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r w:rsidR="0028090C" w:rsidRPr="00F95F23">
        <w:rPr>
          <w:rFonts w:cstheme="minorHAnsi"/>
        </w:rPr>
        <w:t>Aralab incubators (Aralab climatic chamber Fitoclima S600 PL, equipped with 4 led modules 11W 350mA)</w:t>
      </w:r>
      <w:r w:rsidR="0028090C">
        <w:rPr>
          <w:rFonts w:cstheme="minorHAnsi"/>
        </w:rPr>
        <w:t xml:space="preserve"> and </w:t>
      </w:r>
      <w:r w:rsidR="00D5006D" w:rsidRPr="00F95F23">
        <w:rPr>
          <w:rFonts w:cstheme="minorHAnsi"/>
        </w:rPr>
        <w:t>configured using Fitolog 9000 software (version 9308, Aralab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69008824" w:rsidR="00D2759C" w:rsidRPr="00D2759C" w:rsidRDefault="00D2759C" w:rsidP="00C106C5">
      <w:pPr>
        <w:pStyle w:val="Ttulo3"/>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sidR="00BF4934">
        <w:rPr>
          <w:rFonts w:eastAsia="Times New Roman"/>
          <w:lang w:eastAsia="ca-ES"/>
        </w:rPr>
        <w:t>experiment</w:t>
      </w:r>
      <w:r>
        <w:rPr>
          <w:rFonts w:eastAsia="Times New Roman"/>
          <w:lang w:eastAsia="ca-ES"/>
        </w:rPr>
        <w:t xml:space="preserve"> </w:t>
      </w:r>
    </w:p>
    <w:p w14:paraId="182F4755" w14:textId="50BB4B5A" w:rsidR="00D70AD0" w:rsidRDefault="00BF4934" w:rsidP="00C106C5">
      <w:pPr>
        <w:shd w:val="clear" w:color="auto" w:fill="FFFFFF"/>
        <w:spacing w:line="480" w:lineRule="auto"/>
        <w:jc w:val="both"/>
        <w:textAlignment w:val="baseline"/>
        <w:rPr>
          <w:rFonts w:cstheme="minorHAnsi"/>
        </w:rPr>
      </w:pPr>
      <w:r>
        <w:rPr>
          <w:rFonts w:eastAsia="Times New Roman" w:cstheme="minorHAnsi"/>
          <w:color w:val="000000"/>
          <w:lang w:eastAsia="ca-ES"/>
        </w:rPr>
        <w:t xml:space="preserve">Once the </w:t>
      </w:r>
      <w:proofErr w:type="spellStart"/>
      <w:r>
        <w:rPr>
          <w:rFonts w:eastAsia="Times New Roman" w:cstheme="minorHAnsi"/>
          <w:color w:val="000000"/>
          <w:lang w:eastAsia="ca-ES"/>
        </w:rPr>
        <w:t>pretreatment</w:t>
      </w:r>
      <w:proofErr w:type="spellEnd"/>
      <w:r>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1063A9">
        <w:rPr>
          <w:rFonts w:eastAsia="Times New Roman" w:cstheme="minorHAnsi"/>
          <w:color w:val="000000"/>
          <w:lang w:eastAsia="ca-ES"/>
        </w:rPr>
        <w:t xml:space="preserve">seed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parafilm</w:t>
      </w:r>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t>Darkness</w:t>
      </w:r>
      <w:r w:rsidR="00D551BF">
        <w:t xml:space="preserve"> treatment, </w:t>
      </w:r>
      <w:r w:rsidR="00FD730B">
        <w:t xml:space="preserve">added 6ml of distilled water, sealed with parafilm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t>Water stress</w:t>
      </w:r>
      <w:r w:rsidR="00F5765F" w:rsidRPr="00F5765F">
        <w:t xml:space="preserve"> </w:t>
      </w:r>
      <w:r>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t>
      </w:r>
      <w:r w:rsidR="00C95CB9">
        <w:lastRenderedPageBreak/>
        <w:t>with parafilm</w:t>
      </w:r>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t xml:space="preserve">10 ºC </w:t>
      </w:r>
      <w:r w:rsidR="00E4700D">
        <w:t xml:space="preserve">and </w:t>
      </w:r>
      <w:r>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 xml:space="preserve">the rest of the seed </w:t>
      </w:r>
      <w:proofErr w:type="gramStart"/>
      <w:r w:rsidR="00BD0181">
        <w:t>were divided</w:t>
      </w:r>
      <w:proofErr w:type="gramEnd"/>
      <w:r w:rsidR="00BD0181">
        <w:t xml:space="preserve"> between </w:t>
      </w:r>
      <w:r>
        <w:t>control</w:t>
      </w:r>
      <w:r w:rsidR="00851A65">
        <w:t xml:space="preserve"> and constant</w:t>
      </w:r>
      <w:r>
        <w:t xml:space="preserve"> temperature</w:t>
      </w:r>
      <w:r w:rsidR="00C95CB9">
        <w:t xml:space="preserve"> treatments</w:t>
      </w:r>
      <w:r w:rsidR="003620F4">
        <w:t xml:space="preserve">, </w:t>
      </w:r>
      <w:r w:rsidR="00C95CB9">
        <w:t>added 6ml of distilled water and sealed with parafilm</w:t>
      </w:r>
      <w:r w:rsidR="00851A65">
        <w:t xml:space="preserve">. </w:t>
      </w:r>
      <w:r w:rsidR="00901009" w:rsidRPr="00F95F23">
        <w:rPr>
          <w:rFonts w:cstheme="minorHAnsi"/>
        </w:rPr>
        <w:t xml:space="preserve">We checked </w:t>
      </w:r>
      <w:r>
        <w:rPr>
          <w:rFonts w:cstheme="minorHAnsi"/>
        </w:rPr>
        <w:t xml:space="preserve">germination </w:t>
      </w:r>
      <w:r w:rsidR="00851A65">
        <w:rPr>
          <w:rFonts w:cstheme="minorHAnsi"/>
        </w:rPr>
        <w:t>right after cold stratification pretreatment</w:t>
      </w:r>
      <w:r w:rsidR="00E41CD9">
        <w:rPr>
          <w:rFonts w:cstheme="minorHAnsi"/>
        </w:rPr>
        <w:t>, as a proxy of species ability to germinate under snow-like conditions</w:t>
      </w:r>
      <w:r w:rsidR="00C95CB9">
        <w:rPr>
          <w:rFonts w:cstheme="minorHAnsi"/>
        </w:rPr>
        <w:t xml:space="preserve"> to have extra information</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germination occurred (radicle &gt; 1.5 mm long). At the end of the experiment, we cut open non-germinated seeds under the binocular loupe to visually assess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w:t>
      </w:r>
      <w:proofErr w:type="gramStart"/>
      <w:r w:rsidR="00901009" w:rsidRPr="00F95F23">
        <w:rPr>
          <w:rFonts w:cstheme="minorHAnsi"/>
        </w:rPr>
        <w:t>A total of 1</w:t>
      </w:r>
      <w:r w:rsidR="00AF0027">
        <w:rPr>
          <w:rFonts w:cstheme="minorHAnsi"/>
        </w:rPr>
        <w:t>8</w:t>
      </w:r>
      <w:r w:rsidR="00901009" w:rsidRPr="00F95F23">
        <w:rPr>
          <w:rFonts w:cstheme="minorHAnsi"/>
        </w:rPr>
        <w:t>,</w:t>
      </w:r>
      <w:r w:rsidR="00A22117">
        <w:rPr>
          <w:rFonts w:cstheme="minorHAnsi"/>
        </w:rPr>
        <w:t>371</w:t>
      </w:r>
      <w:proofErr w:type="gramEnd"/>
      <w:r w:rsidR="00901009" w:rsidRPr="00F95F23">
        <w:rPr>
          <w:rFonts w:cstheme="minorHAnsi"/>
        </w:rPr>
        <w:t xml:space="preserve"> viable seeds were used in the experiment. </w:t>
      </w:r>
    </w:p>
    <w:p w14:paraId="7C524B1B" w14:textId="25437B25" w:rsidR="00C106C5" w:rsidRDefault="00C106C5" w:rsidP="00C106C5">
      <w:pPr>
        <w:pStyle w:val="Ttulo3"/>
      </w:pPr>
      <w:r>
        <w:t>2.6 Additional plant traits</w:t>
      </w:r>
    </w:p>
    <w:p w14:paraId="6F233F41" w14:textId="7F57F247" w:rsidR="00C106C5" w:rsidRPr="00C106C5" w:rsidRDefault="00C106C5" w:rsidP="00D70AD0">
      <w:pPr>
        <w:spacing w:line="480" w:lineRule="auto"/>
        <w:jc w:val="both"/>
      </w:pPr>
      <w:r>
        <w:t>From all the species included in the germination experiments we also measure seeds mass, as the average dry weight of 5 replicates of 50 seeds, plant and floral height in peak season in the field (</w:t>
      </w:r>
      <w:proofErr w:type="spellStart"/>
      <w:r>
        <w:t>june</w:t>
      </w:r>
      <w:proofErr w:type="spellEnd"/>
      <w:r>
        <w:t>) and leaf traits (leaf area, LDMC and SLA) from 2 leaves of 10 individuals of each species following standard procedures (</w:t>
      </w:r>
      <w:r w:rsidRPr="00C106C5">
        <w:rPr>
          <w:highlight w:val="yellow"/>
        </w:rPr>
        <w:t>ref</w:t>
      </w:r>
      <w:r>
        <w:t xml:space="preserve">) . Leaves </w:t>
      </w:r>
      <w:proofErr w:type="gramStart"/>
      <w:r>
        <w:t>were collected</w:t>
      </w:r>
      <w:proofErr w:type="gramEnd"/>
      <w:r>
        <w:t xml:space="preserve"> early in the day in the field, kept in sealed plastic bags with moist paper until further processing in the laboratory. First fresh weight </w:t>
      </w:r>
      <w:proofErr w:type="gramStart"/>
      <w:r>
        <w:t>was measured</w:t>
      </w:r>
      <w:proofErr w:type="gramEnd"/>
      <w:r>
        <w:t>, removing any visible droplets of water, then leaves were scanned with Epson Canon scanner (</w:t>
      </w:r>
      <w:r w:rsidRPr="00D70AD0">
        <w:rPr>
          <w:highlight w:val="yellow"/>
        </w:rPr>
        <w:t>REF</w:t>
      </w:r>
      <w:r>
        <w:t>) at 600 dpi</w:t>
      </w:r>
      <w:r w:rsidR="00D70AD0">
        <w:t xml:space="preserve"> and finally leaves were put in the oven at 70ºCfor 72h to </w:t>
      </w:r>
      <w:r w:rsidR="00D70AD0">
        <w:lastRenderedPageBreak/>
        <w:t>calculate dry weight. Leaves images where analysed using WINDDIAS version 3 software (</w:t>
      </w:r>
      <w:r w:rsidR="00D70AD0" w:rsidRPr="00D70AD0">
        <w:rPr>
          <w:highlight w:val="yellow"/>
        </w:rPr>
        <w:t>ref, Miguel</w:t>
      </w:r>
      <w:r w:rsidR="00D70AD0">
        <w:t>)</w:t>
      </w:r>
    </w:p>
    <w:p w14:paraId="0D523028" w14:textId="3E5AE185"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C106C5">
        <w:rPr>
          <w:rFonts w:eastAsia="Times New Roman"/>
          <w:bdr w:val="none" w:sz="0" w:space="0" w:color="auto" w:frame="1"/>
          <w:lang w:eastAsia="ca-ES"/>
        </w:rPr>
        <w:t>7</w:t>
      </w:r>
      <w:r w:rsidRPr="00F95F23">
        <w:rPr>
          <w:rFonts w:eastAsia="Times New Roman"/>
          <w:bdr w:val="none" w:sz="0" w:space="0" w:color="auto" w:frame="1"/>
          <w:lang w:eastAsia="ca-ES"/>
        </w:rPr>
        <w:t xml:space="preserve"> </w:t>
      </w:r>
      <w:commentRangeStart w:id="4"/>
      <w:r w:rsidRPr="00F95F23">
        <w:rPr>
          <w:rFonts w:eastAsia="Times New Roman"/>
          <w:bdr w:val="none" w:sz="0" w:space="0" w:color="auto" w:frame="1"/>
          <w:lang w:eastAsia="ca-ES"/>
        </w:rPr>
        <w:t>Statistical analysis</w:t>
      </w:r>
      <w:commentRangeEnd w:id="4"/>
      <w:r w:rsidR="007B656C">
        <w:rPr>
          <w:rStyle w:val="Refdecomentario"/>
          <w:rFonts w:ascii="Calibri" w:eastAsia="Calibri" w:hAnsi="Calibri" w:cs="Calibri"/>
          <w:color w:val="auto"/>
        </w:rPr>
        <w:commentReference w:id="4"/>
      </w:r>
    </w:p>
    <w:p w14:paraId="2CE1C0AF" w14:textId="6C78521E" w:rsidR="00901009" w:rsidRDefault="00C106C5" w:rsidP="00C106C5">
      <w:pPr>
        <w:pStyle w:val="Ttulo2"/>
        <w:spacing w:after="160" w:line="480" w:lineRule="auto"/>
        <w:jc w:val="both"/>
        <w:rPr>
          <w:rFonts w:asciiTheme="minorHAnsi" w:eastAsia="Times New Roman" w:hAnsiTheme="minorHAnsi" w:cstheme="minorHAnsi"/>
          <w:color w:val="000000"/>
          <w:sz w:val="22"/>
          <w:szCs w:val="22"/>
          <w:highlight w:val="yellow"/>
          <w:lang w:eastAsia="ca-ES"/>
        </w:rPr>
      </w:pPr>
      <w:r>
        <w:rPr>
          <w:rFonts w:asciiTheme="minorHAnsi" w:eastAsia="Times New Roman" w:hAnsiTheme="minorHAnsi" w:cstheme="minorHAnsi"/>
          <w:color w:val="000000"/>
          <w:sz w:val="22"/>
          <w:szCs w:val="22"/>
          <w:highlight w:val="yellow"/>
          <w:lang w:eastAsia="ca-ES"/>
        </w:rPr>
        <w:t>To describe the general germination responses w</w:t>
      </w:r>
      <w:r w:rsidR="00901009" w:rsidRPr="001E2B4D">
        <w:rPr>
          <w:rFonts w:asciiTheme="minorHAnsi" w:eastAsia="Times New Roman" w:hAnsiTheme="minorHAnsi" w:cstheme="minorHAnsi"/>
          <w:color w:val="000000"/>
          <w:sz w:val="22"/>
          <w:szCs w:val="22"/>
          <w:highlight w:val="yellow"/>
          <w:lang w:eastAsia="ca-ES"/>
        </w:rPr>
        <w:t xml:space="preserve">e </w:t>
      </w:r>
      <w:proofErr w:type="spellStart"/>
      <w:r w:rsidR="00901009" w:rsidRPr="001E2B4D">
        <w:rPr>
          <w:rFonts w:asciiTheme="minorHAnsi" w:eastAsia="Times New Roman" w:hAnsiTheme="minorHAnsi" w:cstheme="minorHAnsi"/>
          <w:color w:val="000000"/>
          <w:sz w:val="22"/>
          <w:szCs w:val="22"/>
          <w:highlight w:val="yellow"/>
          <w:lang w:eastAsia="ca-ES"/>
        </w:rPr>
        <w:t>analyzed</w:t>
      </w:r>
      <w:proofErr w:type="spellEnd"/>
      <w:r w:rsidR="00901009" w:rsidRPr="001E2B4D">
        <w:rPr>
          <w:rFonts w:asciiTheme="minorHAnsi" w:eastAsia="Times New Roman" w:hAnsiTheme="minorHAnsi" w:cstheme="minorHAnsi"/>
          <w:color w:val="000000"/>
          <w:sz w:val="22"/>
          <w:szCs w:val="22"/>
          <w:highlight w:val="yellow"/>
          <w:lang w:eastAsia="ca-ES"/>
        </w:rPr>
        <w:t xml:space="preserve"> the</w:t>
      </w:r>
      <w:r>
        <w:rPr>
          <w:rFonts w:asciiTheme="minorHAnsi" w:eastAsia="Times New Roman" w:hAnsiTheme="minorHAnsi" w:cstheme="minorHAnsi"/>
          <w:color w:val="000000"/>
          <w:sz w:val="22"/>
          <w:szCs w:val="22"/>
          <w:highlight w:val="yellow"/>
          <w:lang w:eastAsia="ca-ES"/>
        </w:rPr>
        <w:t xml:space="preserve"> germination</w:t>
      </w:r>
      <w:r w:rsidR="00901009" w:rsidRPr="001E2B4D">
        <w:rPr>
          <w:rFonts w:asciiTheme="minorHAnsi" w:eastAsia="Times New Roman" w:hAnsiTheme="minorHAnsi" w:cstheme="minorHAnsi"/>
          <w:color w:val="000000"/>
          <w:sz w:val="22"/>
          <w:szCs w:val="22"/>
          <w:highlight w:val="yellow"/>
          <w:lang w:eastAsia="ca-ES"/>
        </w:rPr>
        <w:t xml:space="preserve"> data by fitting Markov Chain Monte Carlo generalized linear mixed models (</w:t>
      </w:r>
      <w:proofErr w:type="spellStart"/>
      <w:r w:rsidR="00901009" w:rsidRPr="001E2B4D">
        <w:rPr>
          <w:rFonts w:asciiTheme="minorHAnsi" w:eastAsia="Times New Roman" w:hAnsiTheme="minorHAnsi" w:cstheme="minorHAnsi"/>
          <w:color w:val="000000"/>
          <w:sz w:val="22"/>
          <w:szCs w:val="22"/>
          <w:highlight w:val="yellow"/>
          <w:lang w:eastAsia="ca-ES"/>
        </w:rPr>
        <w:t>MCMCglmm</w:t>
      </w:r>
      <w:proofErr w:type="spellEnd"/>
      <w:r w:rsidR="00901009" w:rsidRPr="001E2B4D">
        <w:rPr>
          <w:rFonts w:asciiTheme="minorHAnsi" w:eastAsia="Times New Roman" w:hAnsiTheme="minorHAnsi" w:cstheme="minorHAnsi"/>
          <w:color w:val="000000"/>
          <w:sz w:val="22"/>
          <w:szCs w:val="22"/>
          <w:highlight w:val="yellow"/>
          <w:lang w:eastAsia="ca-ES"/>
        </w:rPr>
        <w:t xml:space="preserve">) with Bayesian estimation using the R package MCMCGLMM </w:t>
      </w:r>
      <w:r w:rsidR="00901009" w:rsidRPr="001E2B4D">
        <w:rPr>
          <w:rFonts w:asciiTheme="minorHAnsi" w:eastAsia="Times New Roman" w:hAnsiTheme="minorHAnsi" w:cstheme="minorHAnsi"/>
          <w:color w:val="000000"/>
          <w:sz w:val="22"/>
          <w:szCs w:val="22"/>
          <w:highlight w:val="yellow"/>
          <w:lang w:eastAsia="ca-ES"/>
        </w:rPr>
        <w:fldChar w:fldCharType="begin" w:fldLock="1"/>
      </w:r>
      <w:r w:rsidR="00901009"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1E2B4D">
        <w:rPr>
          <w:rFonts w:asciiTheme="minorHAnsi" w:eastAsia="Times New Roman" w:hAnsiTheme="minorHAnsi" w:cstheme="minorHAnsi"/>
          <w:color w:val="000000"/>
          <w:sz w:val="22"/>
          <w:szCs w:val="22"/>
          <w:highlight w:val="yellow"/>
          <w:lang w:eastAsia="ca-ES"/>
        </w:rPr>
        <w:fldChar w:fldCharType="separate"/>
      </w:r>
      <w:r w:rsidR="00901009" w:rsidRPr="001E2B4D">
        <w:rPr>
          <w:rFonts w:asciiTheme="minorHAnsi" w:eastAsia="Times New Roman" w:hAnsiTheme="minorHAnsi" w:cstheme="minorHAnsi"/>
          <w:color w:val="000000"/>
          <w:sz w:val="22"/>
          <w:szCs w:val="22"/>
          <w:highlight w:val="yellow"/>
          <w:lang w:eastAsia="ca-ES"/>
        </w:rPr>
        <w:t>(Hadfield, 2010)</w:t>
      </w:r>
      <w:r w:rsidR="00901009" w:rsidRPr="001E2B4D">
        <w:rPr>
          <w:rFonts w:asciiTheme="minorHAnsi" w:eastAsia="Times New Roman" w:hAnsiTheme="minorHAnsi" w:cstheme="minorHAnsi"/>
          <w:color w:val="000000"/>
          <w:sz w:val="22"/>
          <w:szCs w:val="22"/>
          <w:highlight w:val="yellow"/>
          <w:lang w:eastAsia="ca-ES"/>
        </w:rPr>
        <w:fldChar w:fldCharType="end"/>
      </w:r>
      <w:r w:rsidR="00901009" w:rsidRPr="001E2B4D">
        <w:rPr>
          <w:rFonts w:asciiTheme="minorHAnsi" w:eastAsia="Times New Roman" w:hAnsiTheme="minorHAnsi" w:cstheme="minorHAnsi"/>
          <w:color w:val="000000"/>
          <w:sz w:val="22"/>
          <w:szCs w:val="22"/>
          <w:highlight w:val="yellow"/>
          <w:lang w:eastAsia="ca-ES"/>
        </w:rPr>
        <w:t xml:space="preserve">. To model germination, we used binomial </w:t>
      </w:r>
      <w:proofErr w:type="spellStart"/>
      <w:r w:rsidR="00901009" w:rsidRPr="001E2B4D">
        <w:rPr>
          <w:rFonts w:asciiTheme="minorHAnsi" w:eastAsia="Times New Roman" w:hAnsiTheme="minorHAnsi" w:cstheme="minorHAnsi"/>
          <w:color w:val="000000"/>
          <w:sz w:val="22"/>
          <w:szCs w:val="22"/>
          <w:highlight w:val="yellow"/>
          <w:lang w:eastAsia="ca-ES"/>
        </w:rPr>
        <w:t>MCMCglmms</w:t>
      </w:r>
      <w:proofErr w:type="spellEnd"/>
      <w:r w:rsidR="00901009" w:rsidRPr="001E2B4D">
        <w:rPr>
          <w:rFonts w:asciiTheme="minorHAnsi" w:eastAsia="Times New Roman" w:hAnsiTheme="minorHAnsi" w:cstheme="minorHAnsi"/>
          <w:color w:val="000000"/>
          <w:sz w:val="22"/>
          <w:szCs w:val="22"/>
          <w:highlight w:val="yellow"/>
          <w:lang w:eastAsia="ca-ES"/>
        </w:rPr>
        <w:t xml:space="preserve"> (family = multi</w:t>
      </w:r>
      <w:r>
        <w:rPr>
          <w:rFonts w:asciiTheme="minorHAnsi" w:eastAsia="Times New Roman" w:hAnsiTheme="minorHAnsi" w:cstheme="minorHAnsi"/>
          <w:color w:val="000000"/>
          <w:sz w:val="22"/>
          <w:szCs w:val="22"/>
          <w:highlight w:val="yellow"/>
          <w:lang w:eastAsia="ca-ES"/>
        </w:rPr>
        <w:t>nomial2)</w:t>
      </w:r>
      <w:r w:rsidR="002F4E11">
        <w:rPr>
          <w:rFonts w:asciiTheme="minorHAnsi" w:eastAsia="Times New Roman" w:hAnsiTheme="minorHAnsi" w:cstheme="minorHAnsi"/>
          <w:color w:val="000000"/>
          <w:sz w:val="22"/>
          <w:szCs w:val="22"/>
          <w:highlight w:val="yellow"/>
          <w:lang w:eastAsia="ca-ES"/>
        </w:rPr>
        <w:t xml:space="preserve">. For representation </w:t>
      </w:r>
      <w:proofErr w:type="spellStart"/>
      <w:r w:rsidR="002F4E11">
        <w:rPr>
          <w:rFonts w:asciiTheme="minorHAnsi" w:eastAsia="Times New Roman" w:hAnsiTheme="minorHAnsi" w:cstheme="minorHAnsi"/>
          <w:color w:val="000000"/>
          <w:sz w:val="22"/>
          <w:szCs w:val="22"/>
          <w:highlight w:val="yellow"/>
          <w:lang w:eastAsia="ca-ES"/>
        </w:rPr>
        <w:t>ggplot</w:t>
      </w:r>
      <w:proofErr w:type="spellEnd"/>
      <w:r w:rsidR="002F4E11">
        <w:rPr>
          <w:rFonts w:asciiTheme="minorHAnsi" w:eastAsia="Times New Roman" w:hAnsiTheme="minorHAnsi" w:cstheme="minorHAnsi"/>
          <w:color w:val="000000"/>
          <w:sz w:val="22"/>
          <w:szCs w:val="22"/>
          <w:highlight w:val="yellow"/>
          <w:lang w:eastAsia="ca-ES"/>
        </w:rPr>
        <w:t xml:space="preserve"> (REF), </w:t>
      </w:r>
      <w:proofErr w:type="spellStart"/>
      <w:r w:rsidR="002F4E11">
        <w:rPr>
          <w:rFonts w:asciiTheme="minorHAnsi" w:eastAsia="Times New Roman" w:hAnsiTheme="minorHAnsi" w:cstheme="minorHAnsi"/>
          <w:color w:val="000000"/>
          <w:sz w:val="22"/>
          <w:szCs w:val="22"/>
          <w:highlight w:val="yellow"/>
          <w:lang w:eastAsia="ca-ES"/>
        </w:rPr>
        <w:t>ggpubr</w:t>
      </w:r>
      <w:proofErr w:type="spellEnd"/>
      <w:r w:rsidR="002F4E11">
        <w:rPr>
          <w:rFonts w:asciiTheme="minorHAnsi" w:eastAsia="Times New Roman" w:hAnsiTheme="minorHAnsi" w:cstheme="minorHAnsi"/>
          <w:color w:val="000000"/>
          <w:sz w:val="22"/>
          <w:szCs w:val="22"/>
          <w:highlight w:val="yellow"/>
          <w:lang w:eastAsia="ca-ES"/>
        </w:rPr>
        <w:t xml:space="preserve"> (REF) </w:t>
      </w:r>
      <w:proofErr w:type="gramStart"/>
      <w:r w:rsidR="002F4E11">
        <w:rPr>
          <w:rFonts w:asciiTheme="minorHAnsi" w:eastAsia="Times New Roman" w:hAnsiTheme="minorHAnsi" w:cstheme="minorHAnsi"/>
          <w:color w:val="000000"/>
          <w:sz w:val="22"/>
          <w:szCs w:val="22"/>
          <w:highlight w:val="yellow"/>
          <w:lang w:eastAsia="ca-ES"/>
        </w:rPr>
        <w:t>were used</w:t>
      </w:r>
      <w:proofErr w:type="gramEnd"/>
      <w:r w:rsidR="002F4E11">
        <w:rPr>
          <w:rFonts w:asciiTheme="minorHAnsi" w:eastAsia="Times New Roman" w:hAnsiTheme="minorHAnsi" w:cstheme="minorHAnsi"/>
          <w:color w:val="000000"/>
          <w:sz w:val="22"/>
          <w:szCs w:val="22"/>
          <w:highlight w:val="yellow"/>
          <w:lang w:eastAsia="ca-ES"/>
        </w:rPr>
        <w:t xml:space="preserve"> together with </w:t>
      </w:r>
      <w:proofErr w:type="spellStart"/>
      <w:r w:rsidR="002F4E11">
        <w:rPr>
          <w:rFonts w:asciiTheme="minorHAnsi" w:eastAsia="Times New Roman" w:hAnsiTheme="minorHAnsi" w:cstheme="minorHAnsi"/>
          <w:color w:val="000000"/>
          <w:sz w:val="22"/>
          <w:szCs w:val="22"/>
          <w:highlight w:val="yellow"/>
          <w:lang w:eastAsia="ca-ES"/>
        </w:rPr>
        <w:t>binom</w:t>
      </w:r>
      <w:proofErr w:type="spellEnd"/>
      <w:r w:rsidR="002F4E11">
        <w:rPr>
          <w:rFonts w:asciiTheme="minorHAnsi" w:eastAsia="Times New Roman" w:hAnsiTheme="minorHAnsi" w:cstheme="minorHAnsi"/>
          <w:color w:val="000000"/>
          <w:sz w:val="22"/>
          <w:szCs w:val="22"/>
          <w:highlight w:val="yellow"/>
          <w:lang w:eastAsia="ca-ES"/>
        </w:rPr>
        <w:t xml:space="preserve"> package (REF) to create the binomial confidence intervals in figure 2.</w:t>
      </w:r>
    </w:p>
    <w:p w14:paraId="4714D3F1" w14:textId="1E92E5A1" w:rsidR="00C106C5" w:rsidRDefault="00C106C5" w:rsidP="00C106C5">
      <w:pPr>
        <w:spacing w:line="480" w:lineRule="auto"/>
        <w:jc w:val="both"/>
        <w:rPr>
          <w:highlight w:val="yellow"/>
          <w:lang w:eastAsia="ca-ES"/>
        </w:rPr>
      </w:pPr>
      <w:r>
        <w:rPr>
          <w:highlight w:val="yellow"/>
          <w:lang w:eastAsia="ca-ES"/>
        </w:rPr>
        <w:t>To calculated community means, first we transformed raw germination data to log transformed odd ratios, which already gives us information about if the response to a specific treatment is better or worse (germinating) compared to the control treatment. WE applied xx from xx package…</w:t>
      </w:r>
    </w:p>
    <w:p w14:paraId="7E561C22" w14:textId="67D520E2" w:rsidR="00C106C5" w:rsidRDefault="00C106C5" w:rsidP="00C106C5">
      <w:pPr>
        <w:spacing w:line="480" w:lineRule="auto"/>
        <w:jc w:val="both"/>
        <w:rPr>
          <w:highlight w:val="yellow"/>
          <w:lang w:eastAsia="ca-ES"/>
        </w:rPr>
      </w:pPr>
      <w:r>
        <w:rPr>
          <w:highlight w:val="yellow"/>
          <w:lang w:eastAsia="ca-ES"/>
        </w:rPr>
        <w:t xml:space="preserve">To calculate niche dissimilarity we followed the procedure detailed in (book Lars) with coverage data using </w:t>
      </w:r>
      <w:proofErr w:type="spellStart"/>
      <w:r>
        <w:rPr>
          <w:highlight w:val="yellow"/>
          <w:lang w:eastAsia="ca-ES"/>
        </w:rPr>
        <w:t>pacakage</w:t>
      </w:r>
      <w:proofErr w:type="spellEnd"/>
      <w:r>
        <w:rPr>
          <w:highlight w:val="yellow"/>
          <w:lang w:eastAsia="ca-ES"/>
        </w:rPr>
        <w:t xml:space="preserve"> xxx….</w:t>
      </w:r>
    </w:p>
    <w:p w14:paraId="3B1D3DEB" w14:textId="77777777" w:rsidR="001E2B4D" w:rsidRDefault="001E2B4D" w:rsidP="00C106C5">
      <w:pPr>
        <w:spacing w:line="480" w:lineRule="auto"/>
        <w:jc w:val="both"/>
        <w:rPr>
          <w:rFonts w:eastAsia="Times New Roman" w:cstheme="minorHAnsi"/>
          <w:color w:val="000000"/>
          <w:lang w:eastAsia="ca-ES"/>
        </w:rPr>
      </w:pPr>
    </w:p>
    <w:p w14:paraId="76962EC4" w14:textId="3E46A8E4" w:rsidR="003770F3" w:rsidRDefault="003770F3" w:rsidP="00C106C5">
      <w:pPr>
        <w:pStyle w:val="Ttulo2"/>
        <w:spacing w:line="480" w:lineRule="auto"/>
        <w:jc w:val="both"/>
      </w:pPr>
      <w:r w:rsidRPr="003770F3">
        <w:t>3.</w:t>
      </w:r>
      <w:r>
        <w:t xml:space="preserve"> Preliminary results</w:t>
      </w:r>
    </w:p>
    <w:p w14:paraId="24D09B72" w14:textId="7E30A2A3" w:rsidR="003770F3" w:rsidRDefault="00BF4934" w:rsidP="00C106C5">
      <w:pPr>
        <w:pStyle w:val="Ttulo3"/>
        <w:spacing w:line="480" w:lineRule="auto"/>
        <w:jc w:val="both"/>
      </w:pPr>
      <w:r>
        <w:t xml:space="preserve">3.1. Describe germination response to the germination drivers </w:t>
      </w:r>
    </w:p>
    <w:p w14:paraId="52F6E0D4" w14:textId="1A7B9466" w:rsidR="002F4E11" w:rsidRPr="002F4E11" w:rsidRDefault="002F4E11" w:rsidP="002F4E11">
      <w:pPr>
        <w:spacing w:line="480" w:lineRule="auto"/>
        <w:jc w:val="both"/>
      </w:pPr>
      <w:r>
        <w:t xml:space="preserve">Germination analysis </w:t>
      </w:r>
      <w:proofErr w:type="gramStart"/>
      <w:r>
        <w:t>were performed</w:t>
      </w:r>
      <w:proofErr w:type="gramEnd"/>
      <w:r>
        <w:t xml:space="preserve"> separately for each community, nevertheless, both communities responded consistently to germination drivers. Germination does not significantly differs between control (with alternating temperatures) and constant temperatures and there is a significant </w:t>
      </w:r>
      <w:r>
        <w:t>(</w:t>
      </w:r>
      <w:proofErr w:type="spellStart"/>
      <w:r>
        <w:t>pMCMC</w:t>
      </w:r>
      <w:proofErr w:type="spellEnd"/>
      <w:r>
        <w:t xml:space="preserve">&lt;0.001) </w:t>
      </w:r>
      <w:r>
        <w:t>decrease of germination under water stress (MPa -0.6). In darkness, germination decreased in both communities but is significant only in the Mediterranean community (</w:t>
      </w:r>
      <w:proofErr w:type="spellStart"/>
      <w:r>
        <w:t>pMCMC</w:t>
      </w:r>
      <w:proofErr w:type="spellEnd"/>
      <w:r>
        <w:t xml:space="preserve"> &lt;0.01) see Figure 2. </w:t>
      </w:r>
    </w:p>
    <w:p w14:paraId="2ADC3F54" w14:textId="48EAD8C9" w:rsidR="00BF4934" w:rsidRDefault="002F4E11" w:rsidP="00C106C5">
      <w:pPr>
        <w:spacing w:line="480" w:lineRule="auto"/>
        <w:jc w:val="both"/>
      </w:pPr>
      <w:r>
        <w:lastRenderedPageBreak/>
        <w:pict w14:anchorId="3E914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253.5pt">
            <v:imagedata r:id="rId17" o:title="fig2"/>
          </v:shape>
        </w:pict>
      </w:r>
    </w:p>
    <w:p w14:paraId="598A8DDB" w14:textId="7872111A" w:rsidR="002F4E11" w:rsidRDefault="002F4E11" w:rsidP="00C106C5">
      <w:pPr>
        <w:spacing w:line="480" w:lineRule="auto"/>
        <w:jc w:val="both"/>
      </w:pPr>
      <w:r>
        <w:t xml:space="preserve">Figure 2. Germination responses to the four experimental treatments studied. Bars represent the mean germination observed and each treatment (in different </w:t>
      </w:r>
      <w:proofErr w:type="spellStart"/>
      <w:r>
        <w:t>colors</w:t>
      </w:r>
      <w:proofErr w:type="spellEnd"/>
      <w:r>
        <w:t xml:space="preserve">). Error bars represent binomial confidence intervals. </w:t>
      </w:r>
    </w:p>
    <w:p w14:paraId="59784E34" w14:textId="6170CB67" w:rsidR="00BF4934" w:rsidRDefault="00BF4934" w:rsidP="00C106C5">
      <w:pPr>
        <w:pStyle w:val="Ttulo3"/>
        <w:spacing w:line="480" w:lineRule="auto"/>
        <w:jc w:val="both"/>
      </w:pPr>
      <w:r>
        <w:t>3.2. Community means in response to mi</w:t>
      </w:r>
      <w:r w:rsidR="00C20940">
        <w:t>c</w:t>
      </w:r>
      <w:bookmarkStart w:id="5" w:name="_GoBack"/>
      <w:bookmarkEnd w:id="5"/>
      <w:r>
        <w:t>roclimatic gradients</w:t>
      </w:r>
    </w:p>
    <w:p w14:paraId="26F8A549" w14:textId="77777777" w:rsidR="00BF4934" w:rsidRDefault="00BF4934" w:rsidP="00C106C5">
      <w:pPr>
        <w:pStyle w:val="Ttulo3"/>
        <w:spacing w:line="480" w:lineRule="auto"/>
        <w:jc w:val="both"/>
      </w:pPr>
    </w:p>
    <w:p w14:paraId="7F9D70EF" w14:textId="2FD9CCA4" w:rsidR="00BF4934" w:rsidRDefault="00BF4934" w:rsidP="00C106C5">
      <w:pPr>
        <w:pStyle w:val="Ttulo3"/>
        <w:spacing w:line="480" w:lineRule="auto"/>
        <w:jc w:val="both"/>
      </w:pPr>
      <w:r>
        <w:t xml:space="preserve">3.3 Germination niche dissimilarity </w:t>
      </w:r>
    </w:p>
    <w:p w14:paraId="06FAB69C" w14:textId="77777777" w:rsidR="00BF4934" w:rsidRPr="00BF4934" w:rsidRDefault="00BF4934" w:rsidP="00C106C5">
      <w:pPr>
        <w:spacing w:line="480" w:lineRule="auto"/>
        <w:jc w:val="both"/>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687A441" w:rsidR="00F94E77" w:rsidRDefault="00F94E77" w:rsidP="00C106C5">
      <w:pPr>
        <w:spacing w:line="480" w:lineRule="auto"/>
        <w:jc w:val="both"/>
      </w:pPr>
      <w:proofErr w:type="spellStart"/>
      <w:r>
        <w:t>iButtons</w:t>
      </w:r>
      <w:proofErr w:type="spellEnd"/>
      <w:r>
        <w:t xml:space="preserve"> recording period from different years! However</w:t>
      </w:r>
      <w:r w:rsidR="00730E4E">
        <w:t>,</w:t>
      </w:r>
      <w:r>
        <w:t xml:space="preserve"> we are not comparing it, only using it to calculate species realized niche (optimal adult conditions)</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From seedalp proposal obj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From JVA 2024 Picos paper</w:t>
      </w:r>
    </w:p>
  </w:comment>
  <w:comment w:id="4"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907AA0" w14:textId="77777777" w:rsidR="0085576F" w:rsidRDefault="0085576F" w:rsidP="004D1D44">
      <w:pPr>
        <w:spacing w:after="0" w:line="240" w:lineRule="auto"/>
      </w:pPr>
      <w:r>
        <w:separator/>
      </w:r>
    </w:p>
  </w:endnote>
  <w:endnote w:type="continuationSeparator" w:id="0">
    <w:p w14:paraId="4CBC2B81" w14:textId="77777777" w:rsidR="0085576F" w:rsidRDefault="0085576F"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4D1D44" w:rsidRDefault="004D1D44">
        <w:pPr>
          <w:pStyle w:val="Piedepgina"/>
          <w:jc w:val="center"/>
        </w:pPr>
        <w:r>
          <w:fldChar w:fldCharType="begin"/>
        </w:r>
        <w:r>
          <w:instrText>PAGE   \* MERGEFORMAT</w:instrText>
        </w:r>
        <w:r>
          <w:fldChar w:fldCharType="separate"/>
        </w:r>
        <w:r w:rsidR="00C20940" w:rsidRPr="00C20940">
          <w:rPr>
            <w:noProof/>
            <w:lang w:val="es-ES"/>
          </w:rPr>
          <w:t>9</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15CC65" w14:textId="77777777" w:rsidR="0085576F" w:rsidRDefault="0085576F" w:rsidP="004D1D44">
      <w:pPr>
        <w:spacing w:after="0" w:line="240" w:lineRule="auto"/>
      </w:pPr>
      <w:r>
        <w:separator/>
      </w:r>
    </w:p>
  </w:footnote>
  <w:footnote w:type="continuationSeparator" w:id="0">
    <w:p w14:paraId="06A9F669" w14:textId="77777777" w:rsidR="0085576F" w:rsidRDefault="0085576F"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3"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8"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0"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3"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7"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25"/>
  </w:num>
  <w:num w:numId="4">
    <w:abstractNumId w:val="21"/>
  </w:num>
  <w:num w:numId="5">
    <w:abstractNumId w:val="28"/>
  </w:num>
  <w:num w:numId="6">
    <w:abstractNumId w:val="17"/>
  </w:num>
  <w:num w:numId="7">
    <w:abstractNumId w:val="22"/>
  </w:num>
  <w:num w:numId="8">
    <w:abstractNumId w:val="8"/>
  </w:num>
  <w:num w:numId="9">
    <w:abstractNumId w:val="26"/>
  </w:num>
  <w:num w:numId="10">
    <w:abstractNumId w:val="19"/>
  </w:num>
  <w:num w:numId="11">
    <w:abstractNumId w:val="16"/>
  </w:num>
  <w:num w:numId="12">
    <w:abstractNumId w:val="2"/>
  </w:num>
  <w:num w:numId="13">
    <w:abstractNumId w:val="9"/>
  </w:num>
  <w:num w:numId="14">
    <w:abstractNumId w:val="5"/>
  </w:num>
  <w:num w:numId="15">
    <w:abstractNumId w:val="33"/>
  </w:num>
  <w:num w:numId="16">
    <w:abstractNumId w:val="7"/>
  </w:num>
  <w:num w:numId="17">
    <w:abstractNumId w:val="4"/>
  </w:num>
  <w:num w:numId="18">
    <w:abstractNumId w:val="14"/>
  </w:num>
  <w:num w:numId="19">
    <w:abstractNumId w:val="15"/>
  </w:num>
  <w:num w:numId="20">
    <w:abstractNumId w:val="30"/>
  </w:num>
  <w:num w:numId="21">
    <w:abstractNumId w:val="13"/>
  </w:num>
  <w:num w:numId="22">
    <w:abstractNumId w:val="3"/>
  </w:num>
  <w:num w:numId="23">
    <w:abstractNumId w:val="0"/>
  </w:num>
  <w:num w:numId="24">
    <w:abstractNumId w:val="24"/>
  </w:num>
  <w:num w:numId="25">
    <w:abstractNumId w:val="32"/>
  </w:num>
  <w:num w:numId="26">
    <w:abstractNumId w:val="27"/>
  </w:num>
  <w:num w:numId="27">
    <w:abstractNumId w:val="12"/>
  </w:num>
  <w:num w:numId="28">
    <w:abstractNumId w:val="23"/>
  </w:num>
  <w:num w:numId="29">
    <w:abstractNumId w:val="10"/>
  </w:num>
  <w:num w:numId="30">
    <w:abstractNumId w:val="1"/>
  </w:num>
  <w:num w:numId="31">
    <w:abstractNumId w:val="6"/>
  </w:num>
  <w:num w:numId="32">
    <w:abstractNumId w:val="20"/>
  </w:num>
  <w:num w:numId="33">
    <w:abstractNumId w:val="31"/>
  </w:num>
  <w:num w:numId="34">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65E4"/>
    <w:rsid w:val="0004233A"/>
    <w:rsid w:val="000D53F1"/>
    <w:rsid w:val="000E5EDA"/>
    <w:rsid w:val="001063A9"/>
    <w:rsid w:val="00126D28"/>
    <w:rsid w:val="00196AC1"/>
    <w:rsid w:val="001C1441"/>
    <w:rsid w:val="001E2B4D"/>
    <w:rsid w:val="001E4A25"/>
    <w:rsid w:val="00230071"/>
    <w:rsid w:val="00236CFD"/>
    <w:rsid w:val="0028090C"/>
    <w:rsid w:val="002C260B"/>
    <w:rsid w:val="002C39E4"/>
    <w:rsid w:val="002F4E11"/>
    <w:rsid w:val="002F55A3"/>
    <w:rsid w:val="00304BF4"/>
    <w:rsid w:val="0030725B"/>
    <w:rsid w:val="00311FB1"/>
    <w:rsid w:val="00327A0D"/>
    <w:rsid w:val="0033152F"/>
    <w:rsid w:val="00360E8A"/>
    <w:rsid w:val="003620F4"/>
    <w:rsid w:val="003770F3"/>
    <w:rsid w:val="0037794E"/>
    <w:rsid w:val="00397500"/>
    <w:rsid w:val="004236BF"/>
    <w:rsid w:val="00433AB6"/>
    <w:rsid w:val="00472989"/>
    <w:rsid w:val="004942DE"/>
    <w:rsid w:val="004D1D44"/>
    <w:rsid w:val="004D4289"/>
    <w:rsid w:val="004E7DD7"/>
    <w:rsid w:val="00502E51"/>
    <w:rsid w:val="00504FE3"/>
    <w:rsid w:val="00535063"/>
    <w:rsid w:val="00536B93"/>
    <w:rsid w:val="005554FB"/>
    <w:rsid w:val="00560D7F"/>
    <w:rsid w:val="00572C42"/>
    <w:rsid w:val="00574B09"/>
    <w:rsid w:val="005B142C"/>
    <w:rsid w:val="005C26D1"/>
    <w:rsid w:val="00624B6D"/>
    <w:rsid w:val="006262E6"/>
    <w:rsid w:val="00635FCC"/>
    <w:rsid w:val="0064215D"/>
    <w:rsid w:val="00685545"/>
    <w:rsid w:val="00697DD4"/>
    <w:rsid w:val="006B2371"/>
    <w:rsid w:val="006B6B85"/>
    <w:rsid w:val="006C1646"/>
    <w:rsid w:val="006D40F3"/>
    <w:rsid w:val="006F1ACF"/>
    <w:rsid w:val="0070071A"/>
    <w:rsid w:val="00702232"/>
    <w:rsid w:val="00730E4E"/>
    <w:rsid w:val="00781ECC"/>
    <w:rsid w:val="00791C78"/>
    <w:rsid w:val="007946AE"/>
    <w:rsid w:val="007A3C09"/>
    <w:rsid w:val="007A4F0C"/>
    <w:rsid w:val="007B4908"/>
    <w:rsid w:val="007B656C"/>
    <w:rsid w:val="007F16FC"/>
    <w:rsid w:val="0082349B"/>
    <w:rsid w:val="00851A65"/>
    <w:rsid w:val="0085576F"/>
    <w:rsid w:val="0086315F"/>
    <w:rsid w:val="008676B1"/>
    <w:rsid w:val="008750B1"/>
    <w:rsid w:val="00880AF0"/>
    <w:rsid w:val="0088106A"/>
    <w:rsid w:val="00882521"/>
    <w:rsid w:val="008E076A"/>
    <w:rsid w:val="008F1F3B"/>
    <w:rsid w:val="008F398B"/>
    <w:rsid w:val="008F71C3"/>
    <w:rsid w:val="00901009"/>
    <w:rsid w:val="00904FCC"/>
    <w:rsid w:val="00906DFB"/>
    <w:rsid w:val="00941523"/>
    <w:rsid w:val="00980EBF"/>
    <w:rsid w:val="009A5C85"/>
    <w:rsid w:val="009A78D0"/>
    <w:rsid w:val="009B276A"/>
    <w:rsid w:val="009B2776"/>
    <w:rsid w:val="009F4ED4"/>
    <w:rsid w:val="00A0696A"/>
    <w:rsid w:val="00A22117"/>
    <w:rsid w:val="00A4258B"/>
    <w:rsid w:val="00A44265"/>
    <w:rsid w:val="00A614FE"/>
    <w:rsid w:val="00A66F73"/>
    <w:rsid w:val="00A865AD"/>
    <w:rsid w:val="00AA4B30"/>
    <w:rsid w:val="00AD101D"/>
    <w:rsid w:val="00AD3CAF"/>
    <w:rsid w:val="00AF0027"/>
    <w:rsid w:val="00AF2A8A"/>
    <w:rsid w:val="00AF36B2"/>
    <w:rsid w:val="00B16770"/>
    <w:rsid w:val="00B258B2"/>
    <w:rsid w:val="00B57645"/>
    <w:rsid w:val="00B67D27"/>
    <w:rsid w:val="00B73FF2"/>
    <w:rsid w:val="00B90312"/>
    <w:rsid w:val="00B94D4A"/>
    <w:rsid w:val="00BB5BF3"/>
    <w:rsid w:val="00BC5FFC"/>
    <w:rsid w:val="00BD0181"/>
    <w:rsid w:val="00BD5A7B"/>
    <w:rsid w:val="00BE0EA1"/>
    <w:rsid w:val="00BF4934"/>
    <w:rsid w:val="00C0735D"/>
    <w:rsid w:val="00C106C5"/>
    <w:rsid w:val="00C20940"/>
    <w:rsid w:val="00C30CA3"/>
    <w:rsid w:val="00C50151"/>
    <w:rsid w:val="00C859CF"/>
    <w:rsid w:val="00C95CB9"/>
    <w:rsid w:val="00CB6957"/>
    <w:rsid w:val="00CC5D4E"/>
    <w:rsid w:val="00CC741D"/>
    <w:rsid w:val="00CD2694"/>
    <w:rsid w:val="00CF0AFD"/>
    <w:rsid w:val="00CF49D1"/>
    <w:rsid w:val="00D11B3C"/>
    <w:rsid w:val="00D146A8"/>
    <w:rsid w:val="00D2759C"/>
    <w:rsid w:val="00D31338"/>
    <w:rsid w:val="00D37C45"/>
    <w:rsid w:val="00D43110"/>
    <w:rsid w:val="00D5006D"/>
    <w:rsid w:val="00D551BF"/>
    <w:rsid w:val="00D70AD0"/>
    <w:rsid w:val="00D73128"/>
    <w:rsid w:val="00D83334"/>
    <w:rsid w:val="00D97A3B"/>
    <w:rsid w:val="00DC7942"/>
    <w:rsid w:val="00DE1F87"/>
    <w:rsid w:val="00E005DE"/>
    <w:rsid w:val="00E22B87"/>
    <w:rsid w:val="00E314D5"/>
    <w:rsid w:val="00E41CD9"/>
    <w:rsid w:val="00E4700D"/>
    <w:rsid w:val="00E51703"/>
    <w:rsid w:val="00E73432"/>
    <w:rsid w:val="00EB0A69"/>
    <w:rsid w:val="00ED15C9"/>
    <w:rsid w:val="00F04C5E"/>
    <w:rsid w:val="00F278EB"/>
    <w:rsid w:val="00F42616"/>
    <w:rsid w:val="00F42CD5"/>
    <w:rsid w:val="00F45980"/>
    <w:rsid w:val="00F46A2B"/>
    <w:rsid w:val="00F5765F"/>
    <w:rsid w:val="00F73B49"/>
    <w:rsid w:val="00F94E77"/>
    <w:rsid w:val="00F962E2"/>
    <w:rsid w:val="00FB03C4"/>
    <w:rsid w:val="00FC31B1"/>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jpe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3.png"/><Relationship Id="rId23" Type="http://schemas.microsoft.com/office/2018/08/relationships/commentsExtensible" Target="commentsExtensible.xml"/><Relationship Id="rId10" Type="http://schemas.openxmlformats.org/officeDocument/2006/relationships/hyperlink" Target="https://orcid.org/0000-0001-6601-9597"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openxmlformats.org/officeDocument/2006/relationships/image" Target="media/image2.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529</TotalTime>
  <Pages>12</Pages>
  <Words>4726</Words>
  <Characters>26944</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143</cp:revision>
  <dcterms:created xsi:type="dcterms:W3CDTF">2024-01-30T07:36:00Z</dcterms:created>
  <dcterms:modified xsi:type="dcterms:W3CDTF">2024-09-30T13:28:00Z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