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2D462" w14:textId="77777777" w:rsidR="0009666F" w:rsidRDefault="0009666F">
      <w:pPr>
        <w:rPr>
          <w:lang w:val="en-GB"/>
        </w:rPr>
      </w:pPr>
      <w:r>
        <w:rPr>
          <w:lang w:val="en-GB"/>
        </w:rPr>
        <w:t>Prospective title</w:t>
      </w:r>
    </w:p>
    <w:p w14:paraId="11CA7E9C" w14:textId="77777777" w:rsidR="00CF08B0" w:rsidRPr="0001045D" w:rsidRDefault="00CF08B0" w:rsidP="00CF08B0">
      <w:pPr>
        <w:rPr>
          <w:rFonts w:ascii="Times New Roman" w:eastAsia="Times New Roman" w:hAnsi="Times New Roman"/>
          <w:b/>
          <w:bCs/>
          <w:sz w:val="36"/>
          <w:szCs w:val="36"/>
          <w:lang w:val="en-GB"/>
        </w:rPr>
      </w:pPr>
      <w:r w:rsidRPr="00302AEE">
        <w:rPr>
          <w:rFonts w:ascii="Times New Roman" w:eastAsia="Times New Roman" w:hAnsi="Times New Roman"/>
          <w:b/>
          <w:bCs/>
          <w:sz w:val="36"/>
          <w:szCs w:val="36"/>
          <w:lang w:val="en-GB"/>
        </w:rPr>
        <w:t>Effects of microniche on seed longevity: a case study on alpine species</w:t>
      </w:r>
    </w:p>
    <w:p w14:paraId="2067D355" w14:textId="77777777" w:rsidR="0009666F" w:rsidRDefault="0009666F">
      <w:pPr>
        <w:rPr>
          <w:lang w:val="en-GB"/>
        </w:rPr>
      </w:pPr>
      <w:r>
        <w:rPr>
          <w:lang w:val="en-GB"/>
        </w:rPr>
        <w:t>Goal</w:t>
      </w:r>
    </w:p>
    <w:p w14:paraId="4A23213F" w14:textId="77777777" w:rsidR="0009666F" w:rsidRDefault="0009666F">
      <w:pPr>
        <w:rPr>
          <w:lang w:val="en-GB"/>
        </w:rPr>
      </w:pPr>
      <w:r>
        <w:rPr>
          <w:lang w:val="en-GB"/>
        </w:rPr>
        <w:t xml:space="preserve">To study seed longevity patterns we used </w:t>
      </w:r>
      <w:r w:rsidR="00A17D20">
        <w:rPr>
          <w:lang w:val="en-GB"/>
        </w:rPr>
        <w:t xml:space="preserve">artificial ageing protocol from seed banking in 25 species (9 species with 2 populations). </w:t>
      </w:r>
      <w:r w:rsidR="00A17D20">
        <w:rPr>
          <w:sz w:val="24"/>
          <w:szCs w:val="24"/>
          <w:lang w:val="en-GB"/>
        </w:rPr>
        <w:t>The aim of the dissertation is to verify the relationship between the micro</w:t>
      </w:r>
      <w:r w:rsidR="00A17D20">
        <w:rPr>
          <w:sz w:val="24"/>
          <w:szCs w:val="24"/>
          <w:lang w:val="en-GB"/>
        </w:rPr>
        <w:t>habitat</w:t>
      </w:r>
      <w:r w:rsidR="00A17D20">
        <w:rPr>
          <w:sz w:val="24"/>
          <w:szCs w:val="24"/>
          <w:lang w:val="en-GB"/>
        </w:rPr>
        <w:t xml:space="preserve"> preference of the species and the resistance of their seeds to ageing</w:t>
      </w:r>
    </w:p>
    <w:p w14:paraId="40BF3EA9" w14:textId="77777777" w:rsidR="00A17D20" w:rsidRDefault="00A17D20">
      <w:pPr>
        <w:rPr>
          <w:lang w:val="en-GB"/>
        </w:rPr>
      </w:pPr>
      <w:r>
        <w:rPr>
          <w:lang w:val="en-GB"/>
        </w:rPr>
        <w:t>Question</w:t>
      </w:r>
    </w:p>
    <w:p w14:paraId="03D3ABE5" w14:textId="77777777" w:rsidR="00A17D20" w:rsidRDefault="00A17D20">
      <w:pPr>
        <w:rPr>
          <w:lang w:val="en-GB"/>
        </w:rPr>
      </w:pPr>
      <w:r>
        <w:rPr>
          <w:lang w:val="en-GB"/>
        </w:rPr>
        <w:t>Will SNC/realized niche/microhabitat preference modulate seed longevity in alpine species?</w:t>
      </w:r>
    </w:p>
    <w:p w14:paraId="6A762324" w14:textId="77777777" w:rsidR="00A17D20" w:rsidRDefault="00A17D20">
      <w:pPr>
        <w:rPr>
          <w:lang w:val="en-GB"/>
        </w:rPr>
      </w:pPr>
      <w:r>
        <w:rPr>
          <w:lang w:val="en-GB"/>
        </w:rPr>
        <w:t>H: Species from different microhabitats will have differential longevity values</w:t>
      </w:r>
    </w:p>
    <w:p w14:paraId="512F09B3" w14:textId="77777777" w:rsidR="00A17D20" w:rsidRDefault="00A17D20">
      <w:pPr>
        <w:rPr>
          <w:lang w:val="en-GB"/>
        </w:rPr>
      </w:pPr>
      <w:r>
        <w:rPr>
          <w:lang w:val="en-GB"/>
        </w:rPr>
        <w:t>Main results</w:t>
      </w:r>
    </w:p>
    <w:p w14:paraId="1493E7E7" w14:textId="77777777" w:rsidR="00ED2D6E" w:rsidRDefault="00A17D20" w:rsidP="00A17D20">
      <w:pPr>
        <w:spacing w:line="360" w:lineRule="auto"/>
        <w:jc w:val="both"/>
        <w:rPr>
          <w:rFonts w:ascii="Times New Roman" w:hAnsi="Times New Roman"/>
          <w:lang w:val="en-GB"/>
        </w:rPr>
      </w:pPr>
      <w:r>
        <w:rPr>
          <w:szCs w:val="18"/>
          <w:lang w:val="en-GB"/>
        </w:rPr>
        <w:t>S</w:t>
      </w:r>
      <w:r>
        <w:rPr>
          <w:szCs w:val="18"/>
          <w:lang w:val="en-GB"/>
        </w:rPr>
        <w:t>eeds of colder</w:t>
      </w:r>
      <w:r>
        <w:rPr>
          <w:szCs w:val="18"/>
          <w:lang w:val="en-GB"/>
        </w:rPr>
        <w:t>/wetter</w:t>
      </w:r>
      <w:r>
        <w:rPr>
          <w:szCs w:val="18"/>
          <w:lang w:val="en-GB"/>
        </w:rPr>
        <w:t xml:space="preserve"> environments</w:t>
      </w:r>
      <w:r>
        <w:rPr>
          <w:szCs w:val="18"/>
          <w:lang w:val="en-GB"/>
        </w:rPr>
        <w:t xml:space="preserve"> (snowbed)</w:t>
      </w:r>
      <w:r>
        <w:rPr>
          <w:szCs w:val="18"/>
          <w:lang w:val="en-GB"/>
        </w:rPr>
        <w:t xml:space="preserve"> are shorter-lived</w:t>
      </w:r>
      <w:r w:rsidR="00ED2D6E">
        <w:rPr>
          <w:szCs w:val="18"/>
          <w:lang w:val="en-GB"/>
        </w:rPr>
        <w:t xml:space="preserve">. Microhabitat preference and </w:t>
      </w:r>
      <w:r>
        <w:rPr>
          <w:szCs w:val="18"/>
          <w:lang w:val="en-GB"/>
        </w:rPr>
        <w:t xml:space="preserve"> </w:t>
      </w:r>
      <w:r w:rsidRPr="00602F55">
        <w:rPr>
          <w:szCs w:val="18"/>
          <w:lang w:val="en-GB"/>
        </w:rPr>
        <w:t>play a significant role as seed longevity drivers and contribute to explain the large variation of seed longevity found across alpine species.</w:t>
      </w:r>
      <w:r>
        <w:rPr>
          <w:szCs w:val="18"/>
          <w:lang w:val="en-GB"/>
        </w:rPr>
        <w:t xml:space="preserve"> </w:t>
      </w:r>
      <w:r w:rsidR="00ED2D6E">
        <w:rPr>
          <w:rFonts w:ascii="Times New Roman" w:hAnsi="Times New Roman"/>
          <w:lang w:val="en-GB"/>
        </w:rPr>
        <w:t>The</w:t>
      </w:r>
      <w:r w:rsidRPr="00E93BE2">
        <w:rPr>
          <w:rFonts w:ascii="Times New Roman" w:hAnsi="Times New Roman"/>
          <w:lang w:val="en-GB"/>
        </w:rPr>
        <w:t xml:space="preserve"> phylogenetic signal is confirmed to be high</w:t>
      </w:r>
      <w:r>
        <w:rPr>
          <w:rFonts w:ascii="Times New Roman" w:hAnsi="Times New Roman"/>
          <w:lang w:val="en-GB"/>
        </w:rPr>
        <w:t>, supporting previous results on the genetic dependence of seed resistance to ageing. This results also highlight that microhabitats seems colon</w:t>
      </w:r>
      <w:r w:rsidR="00ED2D6E">
        <w:rPr>
          <w:rFonts w:ascii="Times New Roman" w:hAnsi="Times New Roman"/>
          <w:lang w:val="en-GB"/>
        </w:rPr>
        <w:t>ised by closely related species</w:t>
      </w:r>
    </w:p>
    <w:p w14:paraId="09345486" w14:textId="77777777" w:rsidR="00B3018F" w:rsidRDefault="00B3018F" w:rsidP="00A17D20">
      <w:pPr>
        <w:spacing w:line="360" w:lineRule="auto"/>
        <w:jc w:val="both"/>
        <w:rPr>
          <w:rFonts w:ascii="Times New Roman" w:hAnsi="Times New Roman"/>
          <w:lang w:val="en-GB"/>
        </w:rPr>
      </w:pPr>
      <w:r>
        <w:rPr>
          <w:rFonts w:ascii="Times New Roman" w:hAnsi="Times New Roman"/>
          <w:lang w:val="en-GB"/>
        </w:rPr>
        <w:t>NOTES</w:t>
      </w:r>
      <w:r w:rsidR="00CF08B0">
        <w:rPr>
          <w:rFonts w:ascii="Times New Roman" w:hAnsi="Times New Roman"/>
          <w:lang w:val="en-GB"/>
        </w:rPr>
        <w:t>/RE DO some analysis</w:t>
      </w:r>
    </w:p>
    <w:p w14:paraId="379B56B9" w14:textId="77777777" w:rsidR="00B3018F" w:rsidRDefault="00B3018F" w:rsidP="00B3018F">
      <w:pPr>
        <w:pStyle w:val="Prrafodelista"/>
        <w:numPr>
          <w:ilvl w:val="0"/>
          <w:numId w:val="1"/>
        </w:numPr>
        <w:spacing w:line="360" w:lineRule="auto"/>
        <w:jc w:val="both"/>
        <w:rPr>
          <w:rFonts w:ascii="Times New Roman" w:hAnsi="Times New Roman"/>
          <w:lang w:val="en-GB"/>
        </w:rPr>
      </w:pPr>
      <w:r>
        <w:rPr>
          <w:rFonts w:ascii="Times New Roman" w:hAnsi="Times New Roman"/>
          <w:lang w:val="en-GB"/>
        </w:rPr>
        <w:t>Instead of categorical classification use GDD/FDD SNC</w:t>
      </w:r>
    </w:p>
    <w:p w14:paraId="5D5AB9F7" w14:textId="77777777" w:rsidR="00B3018F" w:rsidRDefault="00B3018F" w:rsidP="00B3018F">
      <w:pPr>
        <w:pStyle w:val="Prrafodelista"/>
        <w:numPr>
          <w:ilvl w:val="0"/>
          <w:numId w:val="1"/>
        </w:numPr>
        <w:spacing w:line="360" w:lineRule="auto"/>
        <w:jc w:val="both"/>
        <w:rPr>
          <w:rFonts w:ascii="Times New Roman" w:hAnsi="Times New Roman"/>
          <w:lang w:val="en-GB"/>
        </w:rPr>
      </w:pPr>
      <w:r>
        <w:rPr>
          <w:rFonts w:ascii="Times New Roman" w:hAnsi="Times New Roman"/>
          <w:lang w:val="en-GB"/>
        </w:rPr>
        <w:t>Oil content is highly related to longevity (add and use oil data)</w:t>
      </w:r>
    </w:p>
    <w:p w14:paraId="7C9D32DC" w14:textId="77777777" w:rsidR="00B3018F" w:rsidRPr="00B3018F" w:rsidRDefault="00B3018F" w:rsidP="00B3018F">
      <w:pPr>
        <w:pStyle w:val="Prrafodelista"/>
        <w:numPr>
          <w:ilvl w:val="0"/>
          <w:numId w:val="1"/>
        </w:numPr>
        <w:spacing w:line="360" w:lineRule="auto"/>
        <w:jc w:val="both"/>
        <w:rPr>
          <w:rFonts w:ascii="Times New Roman" w:hAnsi="Times New Roman"/>
          <w:lang w:val="en-GB"/>
        </w:rPr>
      </w:pPr>
      <w:r>
        <w:rPr>
          <w:rFonts w:ascii="Times New Roman" w:hAnsi="Times New Roman"/>
          <w:lang w:val="en-GB"/>
        </w:rPr>
        <w:t>Use seed mass as predictor</w:t>
      </w:r>
    </w:p>
    <w:p w14:paraId="35B524F9" w14:textId="77777777" w:rsidR="00ED2D6E" w:rsidRDefault="00ED2D6E" w:rsidP="00A17D20">
      <w:pPr>
        <w:spacing w:line="360" w:lineRule="auto"/>
        <w:jc w:val="both"/>
        <w:rPr>
          <w:rFonts w:ascii="Times New Roman" w:hAnsi="Times New Roman"/>
          <w:lang w:val="en-GB"/>
        </w:rPr>
      </w:pPr>
    </w:p>
    <w:p w14:paraId="01583276" w14:textId="77777777" w:rsidR="00ED2D6E" w:rsidRDefault="00ED2D6E" w:rsidP="00A17D20">
      <w:pPr>
        <w:spacing w:line="360" w:lineRule="auto"/>
        <w:jc w:val="both"/>
        <w:rPr>
          <w:rFonts w:ascii="Times New Roman" w:hAnsi="Times New Roman"/>
          <w:lang w:val="en-GB"/>
        </w:rPr>
      </w:pPr>
      <w:r>
        <w:rPr>
          <w:rFonts w:ascii="Times New Roman" w:hAnsi="Times New Roman"/>
          <w:lang w:val="en-GB"/>
        </w:rPr>
        <w:t>INTRODUCTION (from Giovanni dissertation)</w:t>
      </w:r>
    </w:p>
    <w:p w14:paraId="2F948FB7" w14:textId="77777777" w:rsidR="00ED2D6E" w:rsidRDefault="00ED2D6E" w:rsidP="00A17D20">
      <w:pPr>
        <w:spacing w:line="360" w:lineRule="auto"/>
        <w:jc w:val="both"/>
        <w:rPr>
          <w:rFonts w:ascii="Times New Roman" w:hAnsi="Times New Roman"/>
          <w:lang w:val="en-GB"/>
        </w:rPr>
      </w:pPr>
      <w:r>
        <w:rPr>
          <w:rFonts w:ascii="Times New Roman" w:hAnsi="Times New Roman"/>
          <w:lang w:val="en-GB"/>
        </w:rPr>
        <w:t xml:space="preserve">Plant diversity can be preserved through </w:t>
      </w:r>
      <w:r>
        <w:rPr>
          <w:rFonts w:ascii="Times New Roman" w:hAnsi="Times New Roman"/>
          <w:i/>
          <w:iCs/>
          <w:lang w:val="en-GB"/>
        </w:rPr>
        <w:t>in situ</w:t>
      </w:r>
      <w:r>
        <w:rPr>
          <w:rFonts w:ascii="Times New Roman" w:hAnsi="Times New Roman"/>
          <w:lang w:val="en-GB"/>
        </w:rPr>
        <w:t xml:space="preserve"> and </w:t>
      </w:r>
      <w:r>
        <w:rPr>
          <w:rFonts w:ascii="Times New Roman" w:hAnsi="Times New Roman"/>
          <w:i/>
          <w:iCs/>
          <w:lang w:val="en-GB"/>
        </w:rPr>
        <w:t>ex situ</w:t>
      </w:r>
      <w:r>
        <w:rPr>
          <w:rFonts w:ascii="Times New Roman" w:hAnsi="Times New Roman"/>
          <w:lang w:val="en-GB"/>
        </w:rPr>
        <w:t xml:space="preserve"> methodologies,. </w:t>
      </w:r>
      <w:r>
        <w:rPr>
          <w:rFonts w:ascii="Times New Roman" w:hAnsi="Times New Roman"/>
          <w:i/>
          <w:iCs/>
          <w:lang w:val="en-GB"/>
        </w:rPr>
        <w:t>In situ</w:t>
      </w:r>
      <w:r>
        <w:rPr>
          <w:rFonts w:ascii="Times New Roman" w:hAnsi="Times New Roman"/>
          <w:lang w:val="en-GB"/>
        </w:rPr>
        <w:t xml:space="preserve"> conservation refers to recovery and maintenance actions in order to maintain a population in the “natural surroundings”. </w:t>
      </w:r>
      <w:r>
        <w:rPr>
          <w:rFonts w:ascii="Times New Roman" w:hAnsi="Times New Roman"/>
          <w:i/>
          <w:iCs/>
          <w:lang w:val="en-GB"/>
        </w:rPr>
        <w:t>Ex situ</w:t>
      </w:r>
      <w:r>
        <w:rPr>
          <w:rFonts w:ascii="Times New Roman" w:hAnsi="Times New Roman"/>
          <w:lang w:val="en-GB"/>
        </w:rPr>
        <w:t xml:space="preserve"> conservation, defined as “</w:t>
      </w:r>
      <w:r w:rsidRPr="00566ECB">
        <w:rPr>
          <w:rFonts w:ascii="Times New Roman" w:hAnsi="Times New Roman"/>
          <w:lang w:val="en-GB"/>
        </w:rPr>
        <w:t>the conservation of components of biological diversity</w:t>
      </w:r>
      <w:r>
        <w:rPr>
          <w:rFonts w:ascii="Times New Roman" w:hAnsi="Times New Roman"/>
          <w:lang w:val="en-GB"/>
        </w:rPr>
        <w:t xml:space="preserve"> </w:t>
      </w:r>
      <w:r w:rsidRPr="00566ECB">
        <w:rPr>
          <w:rFonts w:ascii="Times New Roman" w:hAnsi="Times New Roman"/>
          <w:lang w:val="en-GB"/>
        </w:rPr>
        <w:t>outside their natural habitats</w:t>
      </w:r>
      <w:r>
        <w:rPr>
          <w:rFonts w:ascii="Times New Roman" w:hAnsi="Times New Roman"/>
          <w:lang w:val="en-GB"/>
        </w:rPr>
        <w:t xml:space="preserve">” </w:t>
      </w:r>
      <w:r w:rsidRPr="00117242">
        <w:rPr>
          <w:rFonts w:ascii="Times New Roman" w:hAnsi="Times New Roman"/>
          <w:u w:val="dash"/>
          <w:lang w:val="en-GB"/>
        </w:rPr>
        <w:t>(Braverman, 2014</w:t>
      </w:r>
      <w:r>
        <w:rPr>
          <w:rFonts w:ascii="Times New Roman" w:hAnsi="Times New Roman"/>
          <w:lang w:val="en-GB"/>
        </w:rPr>
        <w:t>; Convention on Biological Diversity, 2002),</w:t>
      </w:r>
      <w:r w:rsidRPr="00335C4F">
        <w:rPr>
          <w:rFonts w:ascii="Times New Roman" w:hAnsi="Times New Roman"/>
          <w:lang w:val="en-GB"/>
        </w:rPr>
        <w:t xml:space="preserve"> </w:t>
      </w:r>
      <w:r>
        <w:rPr>
          <w:rFonts w:ascii="Times New Roman" w:hAnsi="Times New Roman"/>
          <w:lang w:val="en-GB"/>
        </w:rPr>
        <w:t xml:space="preserve">like the seed banks </w:t>
      </w:r>
      <w:r w:rsidRPr="005D00B9">
        <w:rPr>
          <w:rFonts w:ascii="Times New Roman" w:hAnsi="Times New Roman"/>
          <w:lang w:val="en-GB"/>
        </w:rPr>
        <w:t>(Smith et al., 2011)</w:t>
      </w:r>
      <w:r>
        <w:rPr>
          <w:rFonts w:ascii="Times New Roman" w:hAnsi="Times New Roman"/>
          <w:lang w:val="en-GB"/>
        </w:rPr>
        <w:t>, should not be underestimated since it provides “backup” biodiversity and is a source of knowledge.</w:t>
      </w:r>
      <w:r>
        <w:rPr>
          <w:rFonts w:ascii="Times New Roman" w:hAnsi="Times New Roman"/>
          <w:lang w:val="en-GB"/>
        </w:rPr>
        <w:t xml:space="preserve"> </w:t>
      </w:r>
      <w:r>
        <w:rPr>
          <w:rFonts w:ascii="Times New Roman" w:hAnsi="Times New Roman"/>
          <w:lang w:val="en-GB"/>
        </w:rPr>
        <w:t xml:space="preserve">both methodologies are complementary. </w:t>
      </w:r>
      <w:r w:rsidRPr="005D00B9">
        <w:rPr>
          <w:rFonts w:ascii="Times New Roman" w:hAnsi="Times New Roman"/>
          <w:lang w:val="en-GB"/>
        </w:rPr>
        <w:t>Plants are preserved in protected areas and parks (in situ conservation) or ex situ, in botanic gardens and seed banks to provide material for research, education and restoration</w:t>
      </w:r>
      <w:r>
        <w:rPr>
          <w:rFonts w:ascii="Times New Roman" w:hAnsi="Times New Roman"/>
          <w:lang w:val="en-GB"/>
        </w:rPr>
        <w:t xml:space="preserve"> </w:t>
      </w:r>
      <w:r w:rsidRPr="00255FC3">
        <w:rPr>
          <w:rFonts w:ascii="Times New Roman" w:hAnsi="Times New Roman"/>
          <w:lang w:val="en-GB"/>
        </w:rPr>
        <w:t>(Walters &amp; Pence, 2021)</w:t>
      </w:r>
      <w:r>
        <w:rPr>
          <w:rFonts w:ascii="Times New Roman" w:hAnsi="Times New Roman"/>
          <w:lang w:val="en-GB"/>
        </w:rPr>
        <w:t>.</w:t>
      </w:r>
    </w:p>
    <w:p w14:paraId="715A37D2" w14:textId="77777777" w:rsidR="00ED2D6E" w:rsidRDefault="00ED2D6E" w:rsidP="00A17D20">
      <w:pPr>
        <w:spacing w:line="360" w:lineRule="auto"/>
        <w:jc w:val="both"/>
        <w:rPr>
          <w:rFonts w:ascii="Times New Roman" w:hAnsi="Times New Roman"/>
          <w:lang w:val="en-GB"/>
        </w:rPr>
      </w:pPr>
      <w:r>
        <w:rPr>
          <w:rFonts w:ascii="Times New Roman" w:hAnsi="Times New Roman"/>
          <w:lang w:val="en-GB"/>
        </w:rPr>
        <w:lastRenderedPageBreak/>
        <w:t xml:space="preserve">Seeds have </w:t>
      </w:r>
      <w:r>
        <w:rPr>
          <w:rFonts w:ascii="Times New Roman" w:hAnsi="Times New Roman"/>
          <w:lang w:val="en-GB"/>
        </w:rPr>
        <w:t>c</w:t>
      </w:r>
      <w:r w:rsidRPr="003C30DF">
        <w:rPr>
          <w:rFonts w:ascii="Times New Roman" w:hAnsi="Times New Roman"/>
          <w:lang w:val="en-GB"/>
        </w:rPr>
        <w:t>ryptobiosis, which allows the seeds to be stored in small spaces and inexpensively for a long time (Walters &amp; Pence, 2021). Cryptobiosis is a process that starts when the embryo accumulates reserves, the water is substituted with dry matter to maintain cell structures and gains this characteristic of drying tolerance, acquired when the embryo accumulates reserves</w:t>
      </w:r>
      <w:r>
        <w:rPr>
          <w:rFonts w:ascii="Times New Roman" w:hAnsi="Times New Roman"/>
          <w:lang w:val="en-GB"/>
        </w:rPr>
        <w:t xml:space="preserve">. </w:t>
      </w:r>
      <w:r w:rsidRPr="003C30DF">
        <w:rPr>
          <w:rFonts w:ascii="Times New Roman" w:hAnsi="Times New Roman"/>
          <w:lang w:val="en-GB"/>
        </w:rPr>
        <w:t>In the cryptobiotic state plants stop all metabolic and physiological activities despite keeping the organism alive. This particular</w:t>
      </w:r>
      <w:r>
        <w:rPr>
          <w:rFonts w:ascii="Times New Roman" w:hAnsi="Times New Roman"/>
          <w:lang w:val="en-GB"/>
        </w:rPr>
        <w:t xml:space="preserve"> </w:t>
      </w:r>
      <w:r w:rsidRPr="003C30DF">
        <w:rPr>
          <w:rFonts w:ascii="Times New Roman" w:hAnsi="Times New Roman"/>
          <w:lang w:val="en-GB"/>
        </w:rPr>
        <w:t>adaptation seems to derive from the first plants that colonised the land</w:t>
      </w:r>
      <w:r>
        <w:rPr>
          <w:rFonts w:ascii="Times New Roman" w:hAnsi="Times New Roman"/>
          <w:lang w:val="en-GB"/>
        </w:rPr>
        <w:t xml:space="preserve"> </w:t>
      </w:r>
      <w:r w:rsidRPr="00C558EF">
        <w:rPr>
          <w:rFonts w:ascii="Times New Roman" w:hAnsi="Times New Roman"/>
          <w:lang w:val="en-GB"/>
        </w:rPr>
        <w:t>(Gaff &amp; Oliver, 2013)</w:t>
      </w:r>
      <w:r w:rsidR="00B3018F">
        <w:rPr>
          <w:rFonts w:ascii="Times New Roman" w:hAnsi="Times New Roman"/>
          <w:lang w:val="en-GB"/>
        </w:rPr>
        <w:t>.</w:t>
      </w:r>
    </w:p>
    <w:p w14:paraId="2D1C5E8D" w14:textId="77777777" w:rsidR="00B3018F" w:rsidRDefault="00B3018F" w:rsidP="00A17D20">
      <w:pPr>
        <w:spacing w:line="360" w:lineRule="auto"/>
        <w:jc w:val="both"/>
        <w:rPr>
          <w:rFonts w:ascii="Times New Roman" w:hAnsi="Times New Roman"/>
          <w:lang w:val="en-GB"/>
        </w:rPr>
      </w:pPr>
      <w:r>
        <w:rPr>
          <w:rFonts w:ascii="Times New Roman" w:hAnsi="Times New Roman"/>
          <w:lang w:val="en-GB"/>
        </w:rPr>
        <w:t>Seed storage procedures take advantage of cryptobiosis properties of the seeds and are now standardized: seeds are dried to equilibrium at 5-20°C and 10-25% RH, the stored at -18°C to -20°C in waterproof material.</w:t>
      </w:r>
      <w:r>
        <w:rPr>
          <w:rFonts w:ascii="Times New Roman" w:hAnsi="Times New Roman"/>
          <w:lang w:val="en-GB"/>
        </w:rPr>
        <w:t xml:space="preserve"> </w:t>
      </w:r>
      <w:r>
        <w:rPr>
          <w:rFonts w:ascii="Times New Roman" w:hAnsi="Times New Roman"/>
          <w:lang w:val="en-GB"/>
        </w:rPr>
        <w:t xml:space="preserve">Low temperature storage is a relatively inexpensive method to maintain the genetic resources. In these conditions of low temperature and relative humidity germination decreases by 0.95% per year on average and when it reaches the 85% of its initial value </w:t>
      </w:r>
      <w:r w:rsidRPr="001C69FB">
        <w:rPr>
          <w:rFonts w:ascii="Times New Roman" w:hAnsi="Times New Roman"/>
          <w:lang w:val="en-GB"/>
        </w:rPr>
        <w:t>regeneration</w:t>
      </w:r>
      <w:r>
        <w:rPr>
          <w:rFonts w:ascii="Times New Roman" w:hAnsi="Times New Roman"/>
          <w:lang w:val="en-GB"/>
        </w:rPr>
        <w:t xml:space="preserve"> is necessary, according to Food and Agriculture Organization (FAO) standards. Indications about the loss in viability could come from periodic germination tests or from models; the tests reduce the collection, but the models are not so accurate </w:t>
      </w:r>
      <w:r w:rsidRPr="005C4A05">
        <w:rPr>
          <w:rFonts w:ascii="Times New Roman" w:hAnsi="Times New Roman"/>
          <w:lang w:val="en-GB"/>
        </w:rPr>
        <w:t>(Solberg et al., 2020)</w:t>
      </w:r>
      <w:r>
        <w:rPr>
          <w:rFonts w:ascii="Times New Roman" w:hAnsi="Times New Roman"/>
          <w:lang w:val="en-GB"/>
        </w:rPr>
        <w:t>.</w:t>
      </w:r>
      <w:r>
        <w:rPr>
          <w:rFonts w:ascii="Times New Roman" w:hAnsi="Times New Roman"/>
          <w:lang w:val="en-GB"/>
        </w:rPr>
        <w:t xml:space="preserve"> Oil and water content of the seeds differ between species </w:t>
      </w:r>
      <w:r>
        <w:rPr>
          <w:rFonts w:ascii="Times New Roman" w:hAnsi="Times New Roman"/>
          <w:lang w:val="en-GB"/>
        </w:rPr>
        <w:t xml:space="preserve">and this determines the </w:t>
      </w:r>
      <w:r w:rsidRPr="00851D56">
        <w:rPr>
          <w:rFonts w:ascii="Times New Roman" w:hAnsi="Times New Roman"/>
          <w:lang w:val="en-GB"/>
        </w:rPr>
        <w:t>longevity (</w:t>
      </w:r>
      <w:r>
        <w:rPr>
          <w:rFonts w:ascii="Times New Roman" w:hAnsi="Times New Roman"/>
          <w:lang w:val="en-GB"/>
        </w:rPr>
        <w:t xml:space="preserve">measured as the time the viability falls by 50%, the </w:t>
      </w:r>
      <w:r>
        <w:rPr>
          <w:rFonts w:ascii="Times New Roman" w:hAnsi="Times New Roman"/>
          <w:i/>
          <w:iCs/>
          <w:lang w:val="en-GB"/>
        </w:rPr>
        <w:t>p</w:t>
      </w:r>
      <w:r>
        <w:rPr>
          <w:rFonts w:ascii="Times New Roman" w:hAnsi="Times New Roman"/>
          <w:i/>
          <w:iCs/>
          <w:vertAlign w:val="subscript"/>
          <w:lang w:val="en-GB"/>
        </w:rPr>
        <w:t>50</w:t>
      </w:r>
      <w:r w:rsidRPr="00851D56">
        <w:rPr>
          <w:rFonts w:ascii="Times New Roman" w:hAnsi="Times New Roman"/>
          <w:lang w:val="en-GB"/>
        </w:rPr>
        <w:t>)</w:t>
      </w:r>
      <w:r>
        <w:rPr>
          <w:rFonts w:ascii="Times New Roman" w:hAnsi="Times New Roman"/>
          <w:lang w:val="en-GB"/>
        </w:rPr>
        <w:t xml:space="preserve"> of the seed, meaning the drop in viability is slower if seeds are dried and stored at low temperature and faster when seeds are kept at high RH and temperature </w:t>
      </w:r>
      <w:r w:rsidRPr="005C4A05">
        <w:rPr>
          <w:rFonts w:ascii="Times New Roman" w:hAnsi="Times New Roman"/>
          <w:lang w:val="en-GB"/>
        </w:rPr>
        <w:t>(Solberg et al., 2020)</w:t>
      </w:r>
      <w:r>
        <w:rPr>
          <w:rFonts w:ascii="Times New Roman" w:hAnsi="Times New Roman"/>
          <w:lang w:val="en-GB"/>
        </w:rPr>
        <w:t>.</w:t>
      </w:r>
      <w:r>
        <w:rPr>
          <w:rFonts w:ascii="Times New Roman" w:hAnsi="Times New Roman"/>
          <w:lang w:val="en-GB"/>
        </w:rPr>
        <w:t xml:space="preserve"> Recalcitrant</w:t>
      </w:r>
      <w:r>
        <w:rPr>
          <w:rFonts w:ascii="Times New Roman" w:hAnsi="Times New Roman"/>
          <w:lang w:val="en-GB"/>
        </w:rPr>
        <w:t xml:space="preserve"> </w:t>
      </w:r>
      <w:r w:rsidR="00F0742A">
        <w:rPr>
          <w:rFonts w:ascii="Times New Roman" w:hAnsi="Times New Roman"/>
          <w:lang w:val="en-GB"/>
        </w:rPr>
        <w:t xml:space="preserve">seeds however </w:t>
      </w:r>
      <w:r>
        <w:rPr>
          <w:rFonts w:ascii="Times New Roman" w:hAnsi="Times New Roman"/>
          <w:lang w:val="en-GB"/>
        </w:rPr>
        <w:t>can be damaged by the low temperature storage, is associated with crystallization of triacylglycerols (TAG), causing the volume of oil bodies to shrink.</w:t>
      </w:r>
    </w:p>
    <w:p w14:paraId="34640EA1" w14:textId="77777777" w:rsidR="00F0742A" w:rsidRDefault="00F0742A" w:rsidP="00F0742A">
      <w:pPr>
        <w:spacing w:line="360" w:lineRule="auto"/>
        <w:jc w:val="both"/>
        <w:rPr>
          <w:rFonts w:ascii="Times New Roman" w:hAnsi="Times New Roman"/>
          <w:lang w:val="en-GB"/>
        </w:rPr>
      </w:pPr>
      <w:r>
        <w:rPr>
          <w:rFonts w:ascii="Times New Roman" w:hAnsi="Times New Roman"/>
          <w:lang w:val="en-GB"/>
        </w:rPr>
        <w:t xml:space="preserve">The knowledge of seed longevity values and the traits that affect them are important to store them and let them to be potentially </w:t>
      </w:r>
      <w:r w:rsidRPr="006A5E5E">
        <w:rPr>
          <w:rFonts w:ascii="Times New Roman" w:hAnsi="Times New Roman"/>
          <w:lang w:val="en-GB"/>
        </w:rPr>
        <w:t>usable after tens or hundreds of years</w:t>
      </w:r>
      <w:r>
        <w:rPr>
          <w:rFonts w:ascii="Times New Roman" w:hAnsi="Times New Roman"/>
          <w:lang w:val="en-GB"/>
        </w:rPr>
        <w:t xml:space="preserve"> </w:t>
      </w:r>
      <w:r w:rsidRPr="00C558EF">
        <w:rPr>
          <w:rFonts w:ascii="Times New Roman" w:hAnsi="Times New Roman"/>
          <w:lang w:val="en-GB"/>
        </w:rPr>
        <w:t>(Solberg et al., 2020; Walters et al., 2005)</w:t>
      </w:r>
      <w:r>
        <w:rPr>
          <w:rFonts w:ascii="Times New Roman" w:hAnsi="Times New Roman"/>
          <w:lang w:val="en-GB"/>
        </w:rPr>
        <w:t xml:space="preserve">. We know that environmental factors like storage temperature and moisture are important but genetic factors are also relevant </w:t>
      </w:r>
      <w:r w:rsidRPr="002449CC">
        <w:rPr>
          <w:rFonts w:ascii="Times New Roman" w:hAnsi="Times New Roman"/>
          <w:lang w:val="en-GB"/>
        </w:rPr>
        <w:t>(Mondoni et al., 2014)</w:t>
      </w:r>
      <w:r>
        <w:rPr>
          <w:rFonts w:ascii="Times New Roman" w:hAnsi="Times New Roman"/>
          <w:lang w:val="en-GB"/>
        </w:rPr>
        <w:t>.</w:t>
      </w:r>
    </w:p>
    <w:p w14:paraId="7D92144C" w14:textId="77777777" w:rsidR="00F0742A" w:rsidRDefault="00F0742A" w:rsidP="00F0742A">
      <w:pPr>
        <w:spacing w:line="360" w:lineRule="auto"/>
        <w:jc w:val="both"/>
        <w:rPr>
          <w:rFonts w:ascii="Times New Roman" w:hAnsi="Times New Roman"/>
          <w:lang w:val="en-GB"/>
        </w:rPr>
      </w:pPr>
      <w:r>
        <w:rPr>
          <w:rFonts w:ascii="Times New Roman" w:hAnsi="Times New Roman"/>
          <w:lang w:val="en-GB"/>
        </w:rPr>
        <w:t xml:space="preserve">Seed longevity differences are measurable at family, genus and species level, and the lower viability of alpine seeds </w:t>
      </w:r>
      <w:r w:rsidRPr="00C558EF">
        <w:rPr>
          <w:rFonts w:ascii="Times New Roman" w:hAnsi="Times New Roman"/>
          <w:lang w:val="en-GB"/>
        </w:rPr>
        <w:t>(Probert et al., 2009)</w:t>
      </w:r>
      <w:r>
        <w:rPr>
          <w:rFonts w:ascii="Times New Roman" w:hAnsi="Times New Roman"/>
          <w:lang w:val="en-GB"/>
        </w:rPr>
        <w:t xml:space="preserve"> seems to depend on intrinsic factors: differences in the rate of rearrangement of DNA and antioxidant responses </w:t>
      </w:r>
      <w:r w:rsidRPr="00556C87">
        <w:rPr>
          <w:rFonts w:ascii="Times New Roman" w:hAnsi="Times New Roman"/>
          <w:lang w:val="en-GB"/>
        </w:rPr>
        <w:t>(</w:t>
      </w:r>
      <w:r>
        <w:rPr>
          <w:rFonts w:ascii="Times New Roman" w:hAnsi="Times New Roman"/>
          <w:lang w:val="en-GB"/>
        </w:rPr>
        <w:t>Bailly et al., 2004</w:t>
      </w:r>
      <w:r w:rsidRPr="00556C87">
        <w:rPr>
          <w:rFonts w:ascii="Times New Roman" w:hAnsi="Times New Roman"/>
          <w:lang w:val="en-GB"/>
        </w:rPr>
        <w:t>)</w:t>
      </w:r>
      <w:r>
        <w:rPr>
          <w:rFonts w:ascii="Times New Roman" w:hAnsi="Times New Roman"/>
          <w:lang w:val="en-GB"/>
        </w:rPr>
        <w:t xml:space="preserve"> are distinguishable. Seeds are vulnerable to environmental stresses during maturation, storage and germination and this is a primary cause of genetic variation and genomic alteration </w:t>
      </w:r>
      <w:r w:rsidRPr="00E04BB6">
        <w:rPr>
          <w:rFonts w:ascii="Times New Roman" w:hAnsi="Times New Roman"/>
          <w:lang w:val="en-GB"/>
        </w:rPr>
        <w:t>(Mondoni et al., 2014)</w:t>
      </w:r>
      <w:r>
        <w:rPr>
          <w:rFonts w:ascii="Times New Roman" w:hAnsi="Times New Roman"/>
          <w:lang w:val="en-GB"/>
        </w:rPr>
        <w:t xml:space="preserve">. The root cause of degradation in solids is the movement of molecules in an irregular spaced matrix, composed by materials with different thermal properties </w:t>
      </w:r>
      <w:r w:rsidRPr="00DA634F">
        <w:rPr>
          <w:rFonts w:ascii="Times New Roman" w:hAnsi="Times New Roman"/>
          <w:lang w:val="en-GB"/>
        </w:rPr>
        <w:t>(Walters &amp; Pence, 2021)</w:t>
      </w:r>
      <w:r>
        <w:rPr>
          <w:rFonts w:ascii="Times New Roman" w:hAnsi="Times New Roman"/>
          <w:lang w:val="en-GB"/>
        </w:rPr>
        <w:t>.</w:t>
      </w:r>
    </w:p>
    <w:p w14:paraId="68219155" w14:textId="77777777" w:rsidR="00F0742A" w:rsidRDefault="00F0742A" w:rsidP="00F0742A">
      <w:pPr>
        <w:spacing w:line="360" w:lineRule="auto"/>
        <w:jc w:val="both"/>
        <w:rPr>
          <w:rFonts w:ascii="Times New Roman" w:hAnsi="Times New Roman"/>
          <w:lang w:val="en-GB"/>
        </w:rPr>
      </w:pPr>
      <w:r>
        <w:rPr>
          <w:rFonts w:ascii="Times New Roman" w:hAnsi="Times New Roman"/>
          <w:lang w:val="en-GB"/>
        </w:rPr>
        <w:t>S</w:t>
      </w:r>
      <w:r>
        <w:rPr>
          <w:rFonts w:ascii="Times New Roman" w:hAnsi="Times New Roman"/>
          <w:lang w:val="en-GB"/>
        </w:rPr>
        <w:t xml:space="preserve">eeds </w:t>
      </w:r>
      <w:r>
        <w:rPr>
          <w:rFonts w:ascii="Times New Roman" w:hAnsi="Times New Roman"/>
          <w:lang w:val="en-GB"/>
        </w:rPr>
        <w:t xml:space="preserve">from drier/warmer zones </w:t>
      </w:r>
      <w:r>
        <w:rPr>
          <w:rFonts w:ascii="Times New Roman" w:hAnsi="Times New Roman"/>
          <w:lang w:val="en-GB"/>
        </w:rPr>
        <w:t xml:space="preserve">can cope with the experimental stressful environment better than the alpine ones </w:t>
      </w:r>
      <w:r w:rsidRPr="00C558EF">
        <w:rPr>
          <w:rFonts w:ascii="Times New Roman" w:hAnsi="Times New Roman"/>
          <w:lang w:val="en-GB"/>
        </w:rPr>
        <w:t>(Wang et al., 2009)</w:t>
      </w:r>
      <w:r>
        <w:rPr>
          <w:rFonts w:ascii="Times New Roman" w:hAnsi="Times New Roman"/>
          <w:lang w:val="en-GB"/>
        </w:rPr>
        <w:t>.</w:t>
      </w:r>
      <w:r>
        <w:rPr>
          <w:rFonts w:ascii="Times New Roman" w:hAnsi="Times New Roman"/>
          <w:lang w:val="en-GB"/>
        </w:rPr>
        <w:t xml:space="preserve"> </w:t>
      </w:r>
      <w:r>
        <w:rPr>
          <w:rFonts w:ascii="Times New Roman" w:hAnsi="Times New Roman"/>
          <w:lang w:val="en-GB"/>
        </w:rPr>
        <w:t xml:space="preserve">The viability monitoring itself, despite being important, reduces the seed collections, so the monitoring intervals must be appropriate. The Millennium </w:t>
      </w:r>
      <w:r>
        <w:rPr>
          <w:rFonts w:ascii="Times New Roman" w:hAnsi="Times New Roman"/>
          <w:lang w:val="en-GB"/>
        </w:rPr>
        <w:lastRenderedPageBreak/>
        <w:t xml:space="preserve">Seed Bank (MSB) intervals are typically every 10 years but can be extended or reduced to, respectively, 20 or 5 years, in order to find a compromise between detection and preservation. The protocol for comparative longevity uses 500 seeds, that can be a large sample for little collections, that’s why </w:t>
      </w:r>
      <w:r w:rsidRPr="0024383A">
        <w:rPr>
          <w:rFonts w:ascii="Times New Roman" w:hAnsi="Times New Roman"/>
          <w:u w:val="dash"/>
          <w:lang w:val="en-GB"/>
        </w:rPr>
        <w:t>Davies et al.</w:t>
      </w:r>
      <w:r>
        <w:rPr>
          <w:rFonts w:ascii="Times New Roman" w:hAnsi="Times New Roman"/>
          <w:u w:val="dash"/>
          <w:lang w:val="en-GB"/>
        </w:rPr>
        <w:t>,</w:t>
      </w:r>
      <w:r w:rsidRPr="0024383A">
        <w:rPr>
          <w:rFonts w:ascii="Times New Roman" w:hAnsi="Times New Roman"/>
          <w:u w:val="dash"/>
          <w:lang w:val="en-GB"/>
        </w:rPr>
        <w:t xml:space="preserve"> 2016</w:t>
      </w:r>
      <w:r>
        <w:rPr>
          <w:rFonts w:ascii="Times New Roman" w:hAnsi="Times New Roman"/>
          <w:lang w:val="en-GB"/>
        </w:rPr>
        <w:t xml:space="preserve"> proposed a reduced seed number protocol. T</w:t>
      </w:r>
      <w:r w:rsidRPr="00064FCC">
        <w:rPr>
          <w:rFonts w:ascii="Times New Roman" w:hAnsi="Times New Roman"/>
          <w:lang w:val="en-GB"/>
        </w:rPr>
        <w:t xml:space="preserve">he reduced seed number protocol was comparable to the </w:t>
      </w:r>
      <w:r>
        <w:rPr>
          <w:rFonts w:ascii="Times New Roman" w:hAnsi="Times New Roman"/>
          <w:lang w:val="en-GB"/>
        </w:rPr>
        <w:t>standard</w:t>
      </w:r>
      <w:r w:rsidRPr="00064FCC">
        <w:rPr>
          <w:rFonts w:ascii="Times New Roman" w:hAnsi="Times New Roman"/>
          <w:lang w:val="en-GB"/>
        </w:rPr>
        <w:t xml:space="preserve"> one in 26 ou</w:t>
      </w:r>
      <w:r>
        <w:rPr>
          <w:rFonts w:ascii="Times New Roman" w:hAnsi="Times New Roman"/>
          <w:lang w:val="en-GB"/>
        </w:rPr>
        <w:t>t</w:t>
      </w:r>
      <w:r w:rsidRPr="00064FCC">
        <w:rPr>
          <w:rFonts w:ascii="Times New Roman" w:hAnsi="Times New Roman"/>
          <w:lang w:val="en-GB"/>
        </w:rPr>
        <w:t xml:space="preserve"> of 30 species analysed.</w:t>
      </w:r>
      <w:r>
        <w:rPr>
          <w:rFonts w:ascii="Times New Roman" w:hAnsi="Times New Roman"/>
          <w:lang w:val="en-GB"/>
        </w:rPr>
        <w:t xml:space="preserve"> The </w:t>
      </w:r>
      <w:r>
        <w:rPr>
          <w:rFonts w:ascii="Times New Roman" w:hAnsi="Times New Roman"/>
          <w:i/>
          <w:iCs/>
          <w:lang w:val="en-GB"/>
        </w:rPr>
        <w:t>p</w:t>
      </w:r>
      <w:r>
        <w:rPr>
          <w:rFonts w:ascii="Times New Roman" w:hAnsi="Times New Roman"/>
          <w:i/>
          <w:iCs/>
          <w:vertAlign w:val="subscript"/>
          <w:lang w:val="en-GB"/>
        </w:rPr>
        <w:t>50</w:t>
      </w:r>
      <w:r>
        <w:rPr>
          <w:rFonts w:ascii="Times New Roman" w:hAnsi="Times New Roman"/>
          <w:lang w:val="en-GB"/>
        </w:rPr>
        <w:t xml:space="preserve"> estimates were also not significantly different (p=0,129; Fig. 1).</w:t>
      </w:r>
    </w:p>
    <w:p w14:paraId="6AD14F1B" w14:textId="77777777" w:rsidR="00F0742A" w:rsidRDefault="00F0742A" w:rsidP="00F0742A">
      <w:pPr>
        <w:spacing w:line="360" w:lineRule="auto"/>
        <w:jc w:val="both"/>
        <w:rPr>
          <w:rFonts w:ascii="Times New Roman" w:hAnsi="Times New Roman"/>
          <w:lang w:val="en-GB"/>
        </w:rPr>
      </w:pPr>
      <w:bookmarkStart w:id="0" w:name="_GoBack"/>
      <w:r>
        <w:rPr>
          <w:rFonts w:ascii="Times New Roman" w:hAnsi="Times New Roman"/>
          <w:noProof/>
          <w:lang w:eastAsia="ca-ES"/>
        </w:rPr>
        <w:drawing>
          <wp:inline distT="0" distB="0" distL="0" distR="0" wp14:anchorId="49601DF5" wp14:editId="076A0E9C">
            <wp:extent cx="4322445" cy="3133725"/>
            <wp:effectExtent l="0" t="0" r="190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2445" cy="3133725"/>
                    </a:xfrm>
                    <a:prstGeom prst="rect">
                      <a:avLst/>
                    </a:prstGeom>
                    <a:noFill/>
                  </pic:spPr>
                </pic:pic>
              </a:graphicData>
            </a:graphic>
          </wp:inline>
        </w:drawing>
      </w:r>
      <w:bookmarkEnd w:id="0"/>
    </w:p>
    <w:p w14:paraId="7AD4A7DB" w14:textId="77777777" w:rsidR="00F0742A" w:rsidRDefault="00F0742A" w:rsidP="00F0742A">
      <w:pPr>
        <w:spacing w:line="360" w:lineRule="auto"/>
        <w:jc w:val="both"/>
        <w:rPr>
          <w:rFonts w:ascii="Times New Roman" w:hAnsi="Times New Roman"/>
          <w:lang w:val="en-GB"/>
        </w:rPr>
      </w:pPr>
      <w:r>
        <w:rPr>
          <w:rFonts w:ascii="Times New Roman" w:hAnsi="Times New Roman"/>
          <w:lang w:val="en-GB"/>
        </w:rPr>
        <w:t xml:space="preserve"> Like other germplasm forms also some seeds are intrinsically short lived, a trait associated with alpine habitats </w:t>
      </w:r>
      <w:r w:rsidRPr="004762EE">
        <w:rPr>
          <w:rFonts w:ascii="Times New Roman" w:hAnsi="Times New Roman"/>
          <w:lang w:val="en-GB"/>
        </w:rPr>
        <w:t>(Walters &amp; Pence, 2021)</w:t>
      </w:r>
      <w:r>
        <w:rPr>
          <w:rFonts w:ascii="Times New Roman" w:hAnsi="Times New Roman"/>
          <w:lang w:val="en-GB"/>
        </w:rPr>
        <w:t xml:space="preserve">, so </w:t>
      </w:r>
      <w:r w:rsidRPr="000C5957">
        <w:rPr>
          <w:rFonts w:ascii="Times New Roman" w:hAnsi="Times New Roman"/>
          <w:lang w:val="en-GB"/>
        </w:rPr>
        <w:t>th</w:t>
      </w:r>
      <w:r>
        <w:rPr>
          <w:rFonts w:ascii="Times New Roman" w:hAnsi="Times New Roman"/>
          <w:lang w:val="en-GB"/>
        </w:rPr>
        <w:t>i</w:t>
      </w:r>
      <w:r w:rsidRPr="000C5957">
        <w:rPr>
          <w:rFonts w:ascii="Times New Roman" w:hAnsi="Times New Roman"/>
          <w:lang w:val="en-GB"/>
        </w:rPr>
        <w:t>s reduced seed number protocol</w:t>
      </w:r>
      <w:r>
        <w:rPr>
          <w:rFonts w:ascii="Times New Roman" w:hAnsi="Times New Roman"/>
          <w:lang w:val="en-GB"/>
        </w:rPr>
        <w:t xml:space="preserve"> could be crucial for the conservation of these species.</w:t>
      </w:r>
    </w:p>
    <w:p w14:paraId="4B386FDF" w14:textId="77777777" w:rsidR="00F0742A" w:rsidRDefault="00F0742A" w:rsidP="00F0742A">
      <w:pPr>
        <w:spacing w:line="360" w:lineRule="auto"/>
        <w:jc w:val="both"/>
        <w:rPr>
          <w:rFonts w:ascii="Times New Roman" w:hAnsi="Times New Roman"/>
          <w:lang w:val="en-GB"/>
        </w:rPr>
      </w:pPr>
      <w:r>
        <w:rPr>
          <w:rFonts w:ascii="Times New Roman" w:hAnsi="Times New Roman"/>
          <w:lang w:val="en-GB"/>
        </w:rPr>
        <w:t xml:space="preserve">This protocol allows to reduce the necessary seed from 450-500 to 150 but with many risks like the lack of points for probit analysis (and the consequent large standard error values) and the reduced accuracy and precision. </w:t>
      </w:r>
    </w:p>
    <w:p w14:paraId="4F28ACD4" w14:textId="77777777" w:rsidR="00F0742A" w:rsidRDefault="00F0742A" w:rsidP="00F0742A">
      <w:pPr>
        <w:spacing w:line="360" w:lineRule="auto"/>
        <w:jc w:val="both"/>
        <w:rPr>
          <w:rFonts w:ascii="Times New Roman" w:hAnsi="Times New Roman"/>
          <w:lang w:val="en-GB"/>
        </w:rPr>
      </w:pPr>
      <w:r>
        <w:rPr>
          <w:rFonts w:ascii="Times New Roman" w:hAnsi="Times New Roman"/>
          <w:lang w:val="en-GB"/>
        </w:rPr>
        <w:t xml:space="preserve">The seeds are placed over a super-saturated salt solution </w:t>
      </w:r>
      <w:r w:rsidRPr="00DE50D6">
        <w:rPr>
          <w:rFonts w:ascii="Times New Roman" w:hAnsi="Times New Roman"/>
          <w:lang w:val="en-GB"/>
        </w:rPr>
        <w:t>(Hay et al., 2008)</w:t>
      </w:r>
      <w:r>
        <w:rPr>
          <w:rFonts w:ascii="Times New Roman" w:hAnsi="Times New Roman"/>
          <w:lang w:val="en-GB"/>
        </w:rPr>
        <w:t xml:space="preserve"> that creates a moist environment where you can control the percentage of relative humidity. This method requires the presence of undissolved salt that goes into solution when water moves in and re-crystallise when water rehydrates the seeds or evaporates. </w:t>
      </w:r>
      <w:r w:rsidRPr="00146369">
        <w:rPr>
          <w:rFonts w:ascii="Times New Roman" w:hAnsi="Times New Roman"/>
          <w:u w:val="dash"/>
          <w:lang w:val="en-GB"/>
        </w:rPr>
        <w:t xml:space="preserve">Hay et al. </w:t>
      </w:r>
      <w:r>
        <w:rPr>
          <w:rFonts w:ascii="Times New Roman" w:hAnsi="Times New Roman"/>
          <w:u w:val="dash"/>
          <w:lang w:val="en-GB"/>
        </w:rPr>
        <w:t>(</w:t>
      </w:r>
      <w:r w:rsidRPr="00146369">
        <w:rPr>
          <w:rFonts w:ascii="Times New Roman" w:hAnsi="Times New Roman"/>
          <w:u w:val="dash"/>
          <w:lang w:val="en-GB"/>
        </w:rPr>
        <w:t>2008</w:t>
      </w:r>
      <w:r>
        <w:rPr>
          <w:rFonts w:ascii="Times New Roman" w:hAnsi="Times New Roman"/>
          <w:u w:val="dash"/>
          <w:lang w:val="en-GB"/>
        </w:rPr>
        <w:t>)</w:t>
      </w:r>
      <w:r>
        <w:rPr>
          <w:rFonts w:ascii="Times New Roman" w:hAnsi="Times New Roman"/>
          <w:lang w:val="en-GB"/>
        </w:rPr>
        <w:t xml:space="preserve"> described the use of solutions of Lithium Chloride of</w:t>
      </w:r>
      <w:r>
        <w:rPr>
          <w:rFonts w:ascii="Times New Roman" w:hAnsi="Times New Roman"/>
          <w:lang w:val="en-GB"/>
        </w:rPr>
        <w:t xml:space="preserve"> </w:t>
      </w:r>
      <w:r>
        <w:rPr>
          <w:rFonts w:ascii="Times New Roman" w:hAnsi="Times New Roman"/>
          <w:lang w:val="en-GB"/>
        </w:rPr>
        <w:t>different concentrations to show how to adjust them (Fig. 2) without using different salts and to assess their stability.</w:t>
      </w:r>
      <w:r>
        <w:rPr>
          <w:rFonts w:ascii="Times New Roman" w:hAnsi="Times New Roman"/>
          <w:lang w:val="en-GB"/>
        </w:rPr>
        <w:t xml:space="preserve"> </w:t>
      </w:r>
      <w:r>
        <w:rPr>
          <w:rFonts w:ascii="Times New Roman" w:hAnsi="Times New Roman"/>
          <w:lang w:val="en-GB"/>
        </w:rPr>
        <w:t xml:space="preserve">Such a reliable method allows to open hermetically sealed boxes to operate on the seeds with the assurance that the RH would be restabilised in few hours. </w:t>
      </w:r>
    </w:p>
    <w:p w14:paraId="667B33A7" w14:textId="77777777" w:rsidR="00F0742A" w:rsidRDefault="00F0742A" w:rsidP="00F0742A">
      <w:pPr>
        <w:spacing w:line="360" w:lineRule="auto"/>
        <w:jc w:val="both"/>
        <w:rPr>
          <w:rFonts w:ascii="Times New Roman" w:hAnsi="Times New Roman"/>
          <w:lang w:val="en-GB"/>
        </w:rPr>
      </w:pPr>
    </w:p>
    <w:p w14:paraId="1F798A6D" w14:textId="77777777" w:rsidR="00F0742A" w:rsidRDefault="00F0742A" w:rsidP="00F0742A">
      <w:pPr>
        <w:spacing w:line="360" w:lineRule="auto"/>
        <w:jc w:val="both"/>
        <w:rPr>
          <w:rFonts w:ascii="Times New Roman" w:hAnsi="Times New Roman"/>
          <w:lang w:val="en-GB"/>
        </w:rPr>
      </w:pPr>
      <w:r>
        <w:rPr>
          <w:rFonts w:ascii="Times New Roman" w:hAnsi="Times New Roman"/>
          <w:noProof/>
          <w:lang w:eastAsia="ca-ES"/>
        </w:rPr>
        <w:lastRenderedPageBreak/>
        <w:drawing>
          <wp:inline distT="0" distB="0" distL="0" distR="0" wp14:anchorId="0ABF188B" wp14:editId="601D43DE">
            <wp:extent cx="4324350" cy="2943225"/>
            <wp:effectExtent l="0" t="0" r="0" b="9525"/>
            <wp:docPr id="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2943225"/>
                    </a:xfrm>
                    <a:prstGeom prst="rect">
                      <a:avLst/>
                    </a:prstGeom>
                    <a:noFill/>
                    <a:ln>
                      <a:noFill/>
                    </a:ln>
                  </pic:spPr>
                </pic:pic>
              </a:graphicData>
            </a:graphic>
          </wp:inline>
        </w:drawing>
      </w:r>
    </w:p>
    <w:p w14:paraId="14C03BA3" w14:textId="77777777" w:rsidR="00F0742A" w:rsidRDefault="00F0742A" w:rsidP="00F0742A">
      <w:pPr>
        <w:spacing w:line="360" w:lineRule="auto"/>
        <w:jc w:val="both"/>
        <w:rPr>
          <w:rFonts w:ascii="Times New Roman" w:hAnsi="Times New Roman"/>
          <w:lang w:val="en-GB"/>
        </w:rPr>
      </w:pPr>
      <w:r>
        <w:rPr>
          <w:rFonts w:ascii="Times New Roman" w:hAnsi="Times New Roman"/>
          <w:lang w:val="en-GB"/>
        </w:rPr>
        <w:t xml:space="preserve">The seed viability is described by the equation </w:t>
      </w:r>
      <w:r w:rsidRPr="00BE7003">
        <w:rPr>
          <w:rFonts w:ascii="Times New Roman" w:hAnsi="Times New Roman"/>
          <w:i/>
          <w:iCs/>
          <w:lang w:val="en-GB"/>
        </w:rPr>
        <w:t>υ =</w:t>
      </w:r>
      <w:r>
        <w:rPr>
          <w:rFonts w:ascii="Times New Roman" w:hAnsi="Times New Roman"/>
          <w:i/>
          <w:iCs/>
          <w:lang w:val="en-GB"/>
        </w:rPr>
        <w:t xml:space="preserve"> K</w:t>
      </w:r>
      <w:r>
        <w:rPr>
          <w:rFonts w:ascii="Times New Roman" w:hAnsi="Times New Roman"/>
          <w:i/>
          <w:iCs/>
          <w:vertAlign w:val="subscript"/>
          <w:lang w:val="en-GB"/>
        </w:rPr>
        <w:t>i</w:t>
      </w:r>
      <w:r>
        <w:rPr>
          <w:rFonts w:ascii="Times New Roman" w:hAnsi="Times New Roman"/>
          <w:i/>
          <w:iCs/>
          <w:lang w:val="en-GB"/>
        </w:rPr>
        <w:t xml:space="preserve"> – (p/σ)</w:t>
      </w:r>
      <w:r>
        <w:rPr>
          <w:rFonts w:ascii="Times New Roman" w:hAnsi="Times New Roman"/>
          <w:lang w:val="en-GB"/>
        </w:rPr>
        <w:t xml:space="preserve">, “where </w:t>
      </w:r>
      <w:r>
        <w:rPr>
          <w:rFonts w:ascii="Times New Roman" w:hAnsi="Times New Roman"/>
          <w:i/>
          <w:iCs/>
          <w:lang w:val="en-GB"/>
        </w:rPr>
        <w:t>υ</w:t>
      </w:r>
      <w:r>
        <w:rPr>
          <w:rFonts w:ascii="Times New Roman" w:hAnsi="Times New Roman"/>
          <w:lang w:val="en-GB"/>
        </w:rPr>
        <w:t xml:space="preserve"> is the viability after </w:t>
      </w:r>
      <w:r>
        <w:rPr>
          <w:rFonts w:ascii="Times New Roman" w:hAnsi="Times New Roman"/>
          <w:i/>
          <w:iCs/>
          <w:lang w:val="en-GB"/>
        </w:rPr>
        <w:t>p</w:t>
      </w:r>
      <w:r>
        <w:rPr>
          <w:rFonts w:ascii="Times New Roman" w:hAnsi="Times New Roman"/>
          <w:lang w:val="en-GB"/>
        </w:rPr>
        <w:t xml:space="preserve"> years in storage, </w:t>
      </w:r>
      <w:r>
        <w:rPr>
          <w:rFonts w:ascii="Times New Roman" w:hAnsi="Times New Roman"/>
          <w:i/>
          <w:iCs/>
          <w:lang w:val="en-GB"/>
        </w:rPr>
        <w:t>σ</w:t>
      </w:r>
      <w:r>
        <w:rPr>
          <w:rFonts w:ascii="Times New Roman" w:hAnsi="Times New Roman"/>
          <w:lang w:val="en-GB"/>
        </w:rPr>
        <w:t xml:space="preserve"> is the slope of the line and </w:t>
      </w:r>
      <w:r>
        <w:rPr>
          <w:rFonts w:ascii="Times New Roman" w:hAnsi="Times New Roman"/>
          <w:i/>
          <w:iCs/>
          <w:lang w:val="en-GB"/>
        </w:rPr>
        <w:t>K</w:t>
      </w:r>
      <w:r>
        <w:rPr>
          <w:rFonts w:ascii="Times New Roman" w:hAnsi="Times New Roman"/>
          <w:i/>
          <w:iCs/>
          <w:vertAlign w:val="subscript"/>
          <w:lang w:val="en-GB"/>
        </w:rPr>
        <w:t>i</w:t>
      </w:r>
      <w:r>
        <w:rPr>
          <w:rFonts w:ascii="Times New Roman" w:hAnsi="Times New Roman"/>
          <w:lang w:val="en-GB"/>
        </w:rPr>
        <w:t xml:space="preserve"> is the initial viability of the seeds” </w:t>
      </w:r>
      <w:r w:rsidRPr="0024383A">
        <w:rPr>
          <w:rFonts w:ascii="Times New Roman" w:hAnsi="Times New Roman"/>
          <w:lang w:val="en-GB"/>
        </w:rPr>
        <w:t>(Solberg et al., 2020)</w:t>
      </w:r>
      <w:r>
        <w:rPr>
          <w:rFonts w:ascii="Times New Roman" w:hAnsi="Times New Roman"/>
          <w:lang w:val="en-GB"/>
        </w:rPr>
        <w:t xml:space="preserve">. Despite the large confidence intervals, the formula is still used, instead of other improved equations. The genetic conservation is now so important that it brought to the institution of more than 1750 seed banks </w:t>
      </w:r>
      <w:r w:rsidRPr="0024383A">
        <w:rPr>
          <w:rFonts w:ascii="Times New Roman" w:hAnsi="Times New Roman"/>
          <w:lang w:val="en-GB"/>
        </w:rPr>
        <w:t>(Solberg et al., 2020)</w:t>
      </w:r>
      <w:r>
        <w:rPr>
          <w:rFonts w:ascii="Times New Roman" w:hAnsi="Times New Roman"/>
          <w:lang w:val="en-GB"/>
        </w:rPr>
        <w:t xml:space="preserve">. </w:t>
      </w:r>
    </w:p>
    <w:p w14:paraId="2DBC8CFF" w14:textId="77777777" w:rsidR="00821280" w:rsidRPr="00DB6C7E" w:rsidRDefault="00821280" w:rsidP="00821280">
      <w:pPr>
        <w:spacing w:line="360" w:lineRule="auto"/>
        <w:jc w:val="both"/>
        <w:rPr>
          <w:rFonts w:ascii="Times New Roman" w:hAnsi="Times New Roman"/>
          <w:lang w:val="en-GB"/>
        </w:rPr>
      </w:pPr>
      <w:r w:rsidRPr="00DB6C7E">
        <w:rPr>
          <w:rFonts w:ascii="Times New Roman" w:hAnsi="Times New Roman"/>
          <w:lang w:val="en-GB"/>
        </w:rPr>
        <w:t xml:space="preserve">Germination is a fine-tuned process regulated by environmental stimuli like temperature and moisture (Bewley et al., 2013) which starts with the uptake of water. A representation of germination can be made through the course of water uptake so as the process is divided in phases </w:t>
      </w:r>
      <w:r w:rsidRPr="00DB6C7E">
        <w:rPr>
          <w:rFonts w:ascii="Times New Roman" w:hAnsi="Times New Roman"/>
          <w:u w:val="dash"/>
          <w:lang w:val="en-GB"/>
        </w:rPr>
        <w:t xml:space="preserve">(Nonogaki et al., 2010; Fig. </w:t>
      </w:r>
      <w:r>
        <w:rPr>
          <w:rFonts w:ascii="Times New Roman" w:hAnsi="Times New Roman"/>
          <w:u w:val="dash"/>
          <w:lang w:val="en-GB"/>
        </w:rPr>
        <w:t>3</w:t>
      </w:r>
      <w:r w:rsidRPr="00DB6C7E">
        <w:rPr>
          <w:rFonts w:ascii="Times New Roman" w:hAnsi="Times New Roman"/>
          <w:u w:val="dash"/>
          <w:lang w:val="en-GB"/>
        </w:rPr>
        <w:t>)</w:t>
      </w:r>
      <w:r w:rsidRPr="00DB6C7E">
        <w:rPr>
          <w:rFonts w:ascii="Times New Roman" w:hAnsi="Times New Roman"/>
          <w:lang w:val="en-GB"/>
        </w:rPr>
        <w:t>:</w:t>
      </w:r>
    </w:p>
    <w:p w14:paraId="3579CFA1" w14:textId="77777777" w:rsidR="00821280" w:rsidRPr="00DB6C7E" w:rsidRDefault="00821280" w:rsidP="00821280">
      <w:pPr>
        <w:pStyle w:val="Prrafodelista"/>
        <w:numPr>
          <w:ilvl w:val="0"/>
          <w:numId w:val="2"/>
        </w:numPr>
        <w:spacing w:line="360" w:lineRule="auto"/>
        <w:jc w:val="both"/>
        <w:rPr>
          <w:rFonts w:ascii="Times New Roman" w:hAnsi="Times New Roman"/>
          <w:sz w:val="24"/>
          <w:szCs w:val="24"/>
          <w:lang w:val="en-GB"/>
        </w:rPr>
      </w:pPr>
      <w:r w:rsidRPr="00DB6C7E">
        <w:rPr>
          <w:rFonts w:ascii="Times New Roman" w:hAnsi="Times New Roman"/>
          <w:sz w:val="24"/>
          <w:szCs w:val="24"/>
          <w:lang w:val="en-GB"/>
        </w:rPr>
        <w:t>Rapid imbibition by the seed until complete hydration;</w:t>
      </w:r>
    </w:p>
    <w:p w14:paraId="1D1F27C9" w14:textId="77777777" w:rsidR="00821280" w:rsidRPr="00DB6C7E" w:rsidRDefault="00821280" w:rsidP="00821280">
      <w:pPr>
        <w:pStyle w:val="Prrafodelista"/>
        <w:numPr>
          <w:ilvl w:val="0"/>
          <w:numId w:val="2"/>
        </w:numPr>
        <w:spacing w:line="360" w:lineRule="auto"/>
        <w:jc w:val="both"/>
        <w:rPr>
          <w:rFonts w:ascii="Times New Roman" w:hAnsi="Times New Roman"/>
          <w:sz w:val="24"/>
          <w:szCs w:val="24"/>
          <w:lang w:val="en-GB"/>
        </w:rPr>
      </w:pPr>
      <w:r w:rsidRPr="00DB6C7E">
        <w:rPr>
          <w:rFonts w:ascii="Times New Roman" w:hAnsi="Times New Roman"/>
          <w:sz w:val="24"/>
          <w:szCs w:val="24"/>
          <w:lang w:val="en-GB"/>
        </w:rPr>
        <w:t>Limited water uptake;</w:t>
      </w:r>
    </w:p>
    <w:p w14:paraId="4F460AC2" w14:textId="77777777" w:rsidR="00821280" w:rsidRDefault="00821280" w:rsidP="00821280">
      <w:pPr>
        <w:pStyle w:val="Prrafodelista"/>
        <w:numPr>
          <w:ilvl w:val="0"/>
          <w:numId w:val="2"/>
        </w:numPr>
        <w:spacing w:line="360" w:lineRule="auto"/>
        <w:jc w:val="both"/>
        <w:rPr>
          <w:rFonts w:ascii="Times New Roman" w:hAnsi="Times New Roman"/>
          <w:sz w:val="24"/>
          <w:szCs w:val="24"/>
          <w:lang w:val="en-GB"/>
        </w:rPr>
      </w:pPr>
      <w:r w:rsidRPr="00DB6C7E">
        <w:rPr>
          <w:rFonts w:ascii="Times New Roman" w:hAnsi="Times New Roman"/>
          <w:sz w:val="24"/>
          <w:szCs w:val="24"/>
          <w:lang w:val="en-GB"/>
        </w:rPr>
        <w:t>Increase in water uptake.</w:t>
      </w:r>
    </w:p>
    <w:p w14:paraId="4D178BEB" w14:textId="77777777" w:rsidR="00821280" w:rsidRDefault="00821280" w:rsidP="00F0742A">
      <w:pPr>
        <w:spacing w:line="360" w:lineRule="auto"/>
        <w:jc w:val="both"/>
        <w:rPr>
          <w:rFonts w:ascii="Times New Roman" w:hAnsi="Times New Roman"/>
          <w:lang w:val="en-GB"/>
        </w:rPr>
      </w:pPr>
      <w:r>
        <w:rPr>
          <w:rFonts w:ascii="Times New Roman" w:hAnsi="Times New Roman"/>
          <w:noProof/>
          <w:lang w:eastAsia="ca-ES"/>
        </w:rPr>
        <w:lastRenderedPageBreak/>
        <w:drawing>
          <wp:inline distT="0" distB="0" distL="0" distR="0" wp14:anchorId="5DC17E67" wp14:editId="631B1EB1">
            <wp:extent cx="4324350" cy="3352800"/>
            <wp:effectExtent l="0" t="0" r="0" b="0"/>
            <wp:docPr id="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3352800"/>
                    </a:xfrm>
                    <a:prstGeom prst="rect">
                      <a:avLst/>
                    </a:prstGeom>
                    <a:noFill/>
                    <a:ln>
                      <a:noFill/>
                    </a:ln>
                  </pic:spPr>
                </pic:pic>
              </a:graphicData>
            </a:graphic>
          </wp:inline>
        </w:drawing>
      </w:r>
    </w:p>
    <w:p w14:paraId="1B5F8F3D" w14:textId="77777777" w:rsidR="00821280" w:rsidRPr="00DA634F" w:rsidRDefault="00821280" w:rsidP="00821280">
      <w:pPr>
        <w:pStyle w:val="Descripcin"/>
        <w:keepNext/>
        <w:jc w:val="both"/>
        <w:rPr>
          <w:sz w:val="20"/>
          <w:szCs w:val="20"/>
          <w:lang w:val="en-GB"/>
        </w:rPr>
      </w:pPr>
      <w:r w:rsidRPr="004E181D">
        <w:rPr>
          <w:rFonts w:ascii="Times New Roman" w:hAnsi="Times New Roman"/>
          <w:color w:val="000000"/>
          <w:sz w:val="20"/>
          <w:szCs w:val="20"/>
          <w:lang w:val="en-GB"/>
        </w:rPr>
        <w:t xml:space="preserve">Fig. 3: Time course of germination and early seedling growth (Phase III) events </w:t>
      </w:r>
      <w:r w:rsidRPr="004E181D">
        <w:rPr>
          <w:rFonts w:ascii="Times New Roman" w:hAnsi="Times New Roman"/>
          <w:color w:val="000000"/>
          <w:sz w:val="20"/>
          <w:szCs w:val="28"/>
          <w:lang w:val="en-GB"/>
        </w:rPr>
        <w:t>(Nonogaki et al., 2010)</w:t>
      </w:r>
      <w:r w:rsidRPr="00DA634F">
        <w:rPr>
          <w:sz w:val="20"/>
          <w:szCs w:val="20"/>
          <w:lang w:val="en-GB"/>
        </w:rPr>
        <w:t>.</w:t>
      </w:r>
    </w:p>
    <w:p w14:paraId="3C06DAF9" w14:textId="77777777" w:rsidR="00821280" w:rsidRDefault="00821280" w:rsidP="00F0742A">
      <w:pPr>
        <w:spacing w:line="360" w:lineRule="auto"/>
        <w:jc w:val="both"/>
        <w:rPr>
          <w:rFonts w:ascii="Times New Roman" w:hAnsi="Times New Roman"/>
          <w:lang w:val="en-GB"/>
        </w:rPr>
      </w:pPr>
      <w:r w:rsidRPr="00DB6C7E">
        <w:rPr>
          <w:rFonts w:ascii="Times New Roman" w:hAnsi="Times New Roman"/>
          <w:lang w:val="en-GB"/>
        </w:rPr>
        <w:t xml:space="preserve">Some species develop seed dormancy which prevents the germination when the cues are not reliable, so these embryos won’t grow up, for example, in a relatively warm day in full winter (Baskin &amp; Baskin, 2014). The variability in dormancy ensures </w:t>
      </w:r>
      <w:r w:rsidRPr="005B1505">
        <w:rPr>
          <w:rFonts w:ascii="Times New Roman" w:hAnsi="Times New Roman"/>
          <w:lang w:val="en-GB"/>
        </w:rPr>
        <w:t>the distribution in time of the emergences,</w:t>
      </w:r>
      <w:r w:rsidRPr="00DB6C7E">
        <w:rPr>
          <w:rFonts w:ascii="Times New Roman" w:hAnsi="Times New Roman"/>
          <w:lang w:val="en-GB"/>
        </w:rPr>
        <w:t xml:space="preserve"> the consequence is the better survival of the population in unpredictable conditions (Venable, 2007). The tuning can be pretty accurate since the cues range over from the daily alternation of temperatures (Thompson et al., 1977) to the need for light or darkness (Carta et al., 2017). Dormancy is traditionally ascribed to alpine species seeds, in that case is a physiological dormancy (</w:t>
      </w:r>
      <w:r w:rsidRPr="00DB6C7E">
        <w:rPr>
          <w:rFonts w:ascii="Times New Roman" w:hAnsi="Times New Roman"/>
          <w:u w:val="dash"/>
          <w:lang w:val="en-GB"/>
        </w:rPr>
        <w:t>Fernández‐Pascual et al., 2021)</w:t>
      </w:r>
      <w:r w:rsidRPr="00DB6C7E">
        <w:rPr>
          <w:rFonts w:ascii="Times New Roman" w:hAnsi="Times New Roman"/>
          <w:lang w:val="en-GB"/>
        </w:rPr>
        <w:t xml:space="preserve">, a type of dormancy that prevents germination when the seed has been dispersed since brief time (Meyer &amp; Monsen, 1991). </w:t>
      </w:r>
      <w:r>
        <w:rPr>
          <w:rFonts w:ascii="Times New Roman" w:hAnsi="Times New Roman"/>
          <w:lang w:val="en-GB"/>
        </w:rPr>
        <w:t>One of the</w:t>
      </w:r>
      <w:r w:rsidRPr="00DB6C7E">
        <w:rPr>
          <w:rFonts w:ascii="Times New Roman" w:hAnsi="Times New Roman"/>
          <w:lang w:val="en-GB"/>
        </w:rPr>
        <w:t xml:space="preserve"> requirement</w:t>
      </w:r>
      <w:r>
        <w:rPr>
          <w:rFonts w:ascii="Times New Roman" w:hAnsi="Times New Roman"/>
          <w:lang w:val="en-GB"/>
        </w:rPr>
        <w:t>s</w:t>
      </w:r>
      <w:r w:rsidRPr="00DB6C7E">
        <w:rPr>
          <w:rFonts w:ascii="Times New Roman" w:hAnsi="Times New Roman"/>
          <w:lang w:val="en-GB"/>
        </w:rPr>
        <w:t xml:space="preserve"> for the seeds to germinate </w:t>
      </w:r>
      <w:r>
        <w:rPr>
          <w:rFonts w:ascii="Times New Roman" w:hAnsi="Times New Roman"/>
          <w:lang w:val="en-GB"/>
        </w:rPr>
        <w:t>can be</w:t>
      </w:r>
      <w:r w:rsidRPr="00DB6C7E">
        <w:rPr>
          <w:rFonts w:ascii="Times New Roman" w:hAnsi="Times New Roman"/>
          <w:lang w:val="en-GB"/>
        </w:rPr>
        <w:t xml:space="preserve"> to sense the </w:t>
      </w:r>
      <w:r>
        <w:rPr>
          <w:rFonts w:ascii="Times New Roman" w:hAnsi="Times New Roman"/>
          <w:lang w:val="en-GB"/>
        </w:rPr>
        <w:t>winter temperatures</w:t>
      </w:r>
      <w:r w:rsidRPr="00DB6C7E">
        <w:rPr>
          <w:rFonts w:ascii="Times New Roman" w:hAnsi="Times New Roman"/>
          <w:lang w:val="en-GB"/>
        </w:rPr>
        <w:t xml:space="preserve"> as Söyrinki (1938) showed the necessity to simulate the snow stratification by storing them at winter temperatures to increase seed germination in most arctic-alpine species, </w:t>
      </w:r>
      <w:r>
        <w:rPr>
          <w:rFonts w:ascii="Times New Roman" w:hAnsi="Times New Roman"/>
          <w:lang w:val="en-GB"/>
        </w:rPr>
        <w:t>i</w:t>
      </w:r>
      <w:r w:rsidRPr="00DB6C7E">
        <w:rPr>
          <w:rFonts w:ascii="Times New Roman" w:hAnsi="Times New Roman"/>
          <w:lang w:val="en-GB"/>
        </w:rPr>
        <w:t>n facts the species from the alpine grasslands seem to have the highest level of dormancy (Margreiter et al., 2020). An</w:t>
      </w:r>
      <w:r>
        <w:rPr>
          <w:rFonts w:ascii="Times New Roman" w:hAnsi="Times New Roman"/>
          <w:lang w:val="en-GB"/>
        </w:rPr>
        <w:t>other</w:t>
      </w:r>
      <w:r w:rsidRPr="00DB6C7E">
        <w:rPr>
          <w:rFonts w:ascii="Times New Roman" w:hAnsi="Times New Roman"/>
          <w:lang w:val="en-GB"/>
        </w:rPr>
        <w:t xml:space="preserve"> important promoter of germination is the light, via phytochromes</w:t>
      </w:r>
      <w:r>
        <w:rPr>
          <w:rFonts w:ascii="Times New Roman" w:hAnsi="Times New Roman"/>
          <w:lang w:val="en-GB"/>
        </w:rPr>
        <w:t xml:space="preserve"> </w:t>
      </w:r>
      <w:r w:rsidRPr="00DB6C7E">
        <w:rPr>
          <w:rFonts w:ascii="Times New Roman" w:hAnsi="Times New Roman"/>
          <w:lang w:val="en-GB"/>
        </w:rPr>
        <w:t xml:space="preserve">(Shinomura, 1997), that </w:t>
      </w:r>
      <w:r w:rsidRPr="005B1505">
        <w:rPr>
          <w:rFonts w:ascii="Times New Roman" w:hAnsi="Times New Roman"/>
          <w:lang w:val="en-GB"/>
        </w:rPr>
        <w:t>regulate</w:t>
      </w:r>
      <w:r w:rsidRPr="00DB6C7E">
        <w:rPr>
          <w:rFonts w:ascii="Times New Roman" w:hAnsi="Times New Roman"/>
          <w:lang w:val="en-GB"/>
        </w:rPr>
        <w:t xml:space="preserve"> the levels of bioactive GA and ABA (Seo et al., 2006), the germination capacity is indeed determined by the balance of the two antagonistic hormones </w:t>
      </w:r>
      <w:r w:rsidRPr="00C558EF">
        <w:rPr>
          <w:rFonts w:ascii="Times New Roman" w:hAnsi="Times New Roman"/>
          <w:lang w:val="en-GB"/>
        </w:rPr>
        <w:t>(Seo et al., 2009)</w:t>
      </w:r>
      <w:r>
        <w:rPr>
          <w:rFonts w:ascii="Times New Roman" w:hAnsi="Times New Roman"/>
          <w:lang w:val="en-GB"/>
        </w:rPr>
        <w:t>: the GA is an inductor of germination, while ABA inhibits it.</w:t>
      </w:r>
    </w:p>
    <w:p w14:paraId="6E0B44B1" w14:textId="77777777" w:rsidR="00821280" w:rsidRDefault="00821280" w:rsidP="00821280">
      <w:pPr>
        <w:spacing w:line="360" w:lineRule="auto"/>
        <w:jc w:val="both"/>
        <w:rPr>
          <w:rFonts w:ascii="Times New Roman" w:hAnsi="Times New Roman"/>
          <w:lang w:val="en-GB"/>
        </w:rPr>
      </w:pPr>
      <w:r>
        <w:rPr>
          <w:rFonts w:ascii="Times New Roman" w:hAnsi="Times New Roman"/>
          <w:lang w:val="en-GB"/>
        </w:rPr>
        <w:t xml:space="preserve">Alpine plant diversity is particularly threatened by tourism and climate change, a problem of increasing importance </w:t>
      </w:r>
      <w:r w:rsidRPr="00C558EF">
        <w:rPr>
          <w:rFonts w:ascii="Times New Roman" w:hAnsi="Times New Roman"/>
          <w:lang w:val="en-GB"/>
        </w:rPr>
        <w:t>(Ferrarini et al., 2008; Parolo &amp; Rossi, 2008)</w:t>
      </w:r>
      <w:r>
        <w:rPr>
          <w:rFonts w:ascii="Times New Roman" w:hAnsi="Times New Roman"/>
          <w:lang w:val="en-GB"/>
        </w:rPr>
        <w:t xml:space="preserve">. To conserve and preserve this diversity </w:t>
      </w:r>
      <w:r>
        <w:rPr>
          <w:rFonts w:ascii="Times New Roman" w:hAnsi="Times New Roman"/>
          <w:i/>
          <w:iCs/>
          <w:lang w:val="en-GB"/>
        </w:rPr>
        <w:t>in situ</w:t>
      </w:r>
      <w:r>
        <w:rPr>
          <w:rFonts w:ascii="Times New Roman" w:hAnsi="Times New Roman"/>
          <w:lang w:val="en-GB"/>
        </w:rPr>
        <w:t xml:space="preserve"> conservation as well as </w:t>
      </w:r>
      <w:r w:rsidRPr="00DA48BB">
        <w:rPr>
          <w:rFonts w:ascii="Times New Roman" w:hAnsi="Times New Roman"/>
          <w:i/>
          <w:iCs/>
          <w:lang w:val="en-GB"/>
        </w:rPr>
        <w:t>ex situ</w:t>
      </w:r>
      <w:r>
        <w:rPr>
          <w:rFonts w:ascii="Times New Roman" w:hAnsi="Times New Roman"/>
          <w:lang w:val="en-GB"/>
        </w:rPr>
        <w:t xml:space="preserve"> seed banks can help, primary by safeguard </w:t>
      </w:r>
      <w:r>
        <w:rPr>
          <w:rFonts w:ascii="Times New Roman" w:hAnsi="Times New Roman"/>
          <w:lang w:val="en-GB"/>
        </w:rPr>
        <w:lastRenderedPageBreak/>
        <w:t xml:space="preserve">species from extinction and/or provide propagating material for habitat restoration. The main problem is the lack of knowledge about the seed life span, meaning how long will alpine seeds remain viable in storage, which is related to environmental factors and taxonomic group </w:t>
      </w:r>
      <w:r w:rsidRPr="004762EE">
        <w:rPr>
          <w:rFonts w:ascii="Times New Roman" w:hAnsi="Times New Roman"/>
          <w:lang w:val="en-GB"/>
        </w:rPr>
        <w:t>(</w:t>
      </w:r>
      <w:r w:rsidRPr="00D118B6">
        <w:rPr>
          <w:rFonts w:ascii="Times New Roman" w:hAnsi="Times New Roman"/>
          <w:u w:val="dash"/>
          <w:lang w:val="en-GB"/>
        </w:rPr>
        <w:t>Probert et al., 2009</w:t>
      </w:r>
      <w:r w:rsidRPr="004762EE">
        <w:rPr>
          <w:rFonts w:ascii="Times New Roman" w:hAnsi="Times New Roman"/>
          <w:lang w:val="en-GB"/>
        </w:rPr>
        <w:t>)</w:t>
      </w:r>
      <w:r>
        <w:rPr>
          <w:rFonts w:ascii="Times New Roman" w:hAnsi="Times New Roman"/>
          <w:lang w:val="en-GB"/>
        </w:rPr>
        <w:t>.</w:t>
      </w:r>
      <w:r>
        <w:rPr>
          <w:rFonts w:ascii="Times New Roman" w:hAnsi="Times New Roman"/>
          <w:lang w:val="en-GB"/>
        </w:rPr>
        <w:t xml:space="preserve"> </w:t>
      </w:r>
      <w:r w:rsidRPr="00D118B6">
        <w:rPr>
          <w:rFonts w:ascii="Times New Roman" w:hAnsi="Times New Roman"/>
          <w:u w:val="dash"/>
          <w:lang w:val="en-GB"/>
        </w:rPr>
        <w:t>Probert et al., 2009</w:t>
      </w:r>
      <w:r>
        <w:rPr>
          <w:rFonts w:ascii="Times New Roman" w:hAnsi="Times New Roman"/>
          <w:lang w:val="en-GB"/>
        </w:rPr>
        <w:t xml:space="preserve"> proposed a model after the analysis of 195 species and the </w:t>
      </w:r>
      <w:r>
        <w:rPr>
          <w:rFonts w:ascii="Times New Roman" w:hAnsi="Times New Roman"/>
          <w:i/>
          <w:iCs/>
          <w:lang w:val="en-GB"/>
        </w:rPr>
        <w:t>p</w:t>
      </w:r>
      <w:r>
        <w:rPr>
          <w:rFonts w:ascii="Times New Roman" w:hAnsi="Times New Roman"/>
          <w:i/>
          <w:iCs/>
          <w:vertAlign w:val="subscript"/>
          <w:lang w:val="en-GB"/>
        </w:rPr>
        <w:t>50</w:t>
      </w:r>
      <w:r>
        <w:rPr>
          <w:rFonts w:ascii="Times New Roman" w:hAnsi="Times New Roman"/>
          <w:lang w:val="en-GB"/>
        </w:rPr>
        <w:t xml:space="preserve"> is a function of presence or absence of endosperm, mean annual temperature and mean annual rainfall. Despite a considerable variation in the model was not explained, it predicted the shorter life of seeds for species inhabiting cold and wet habitats, compared to those from warmer and drier place. Consistently, a few years later a study conducted in the European Alps highlighted that alpine species were shorter lived than closely related species from lower elevation</w:t>
      </w:r>
      <w:r w:rsidRPr="000C687F">
        <w:rPr>
          <w:rFonts w:ascii="Times New Roman" w:hAnsi="Times New Roman"/>
          <w:lang w:val="en-GB"/>
        </w:rPr>
        <w:t xml:space="preserve"> </w:t>
      </w:r>
      <w:r>
        <w:rPr>
          <w:rFonts w:ascii="Times New Roman" w:hAnsi="Times New Roman"/>
          <w:lang w:val="en-GB"/>
        </w:rPr>
        <w:t>and warmer climate (</w:t>
      </w:r>
      <w:r w:rsidRPr="00620D90">
        <w:rPr>
          <w:rFonts w:ascii="Times New Roman" w:hAnsi="Times New Roman"/>
          <w:u w:val="dash"/>
          <w:lang w:val="en-GB"/>
        </w:rPr>
        <w:t>Mondoni et al., 2011</w:t>
      </w:r>
      <w:r>
        <w:rPr>
          <w:rFonts w:ascii="Times New Roman" w:hAnsi="Times New Roman"/>
          <w:lang w:val="en-GB"/>
        </w:rPr>
        <w:t xml:space="preserve">); in particular, the seeds from lowlands showed a higher initial seed viability, slower deterioration rate or both, as compared to alpine seeds (Fig. 6), and this trend was significant both between and within species. More recent observations confirmed this trend also in other mountain chains </w:t>
      </w:r>
      <w:r w:rsidRPr="00C558EF">
        <w:rPr>
          <w:rFonts w:ascii="Times New Roman" w:hAnsi="Times New Roman"/>
          <w:lang w:val="en-GB"/>
        </w:rPr>
        <w:t>(Seglias, 2022)</w:t>
      </w:r>
      <w:r>
        <w:rPr>
          <w:rFonts w:ascii="Times New Roman" w:hAnsi="Times New Roman"/>
          <w:lang w:val="en-GB"/>
        </w:rPr>
        <w:t xml:space="preserve">. </w:t>
      </w:r>
      <w:commentRangeStart w:id="1"/>
      <w:commentRangeEnd w:id="1"/>
      <w:r>
        <w:rPr>
          <w:rStyle w:val="Refdecomentario"/>
        </w:rPr>
        <w:commentReference w:id="1"/>
      </w:r>
      <w:r>
        <w:rPr>
          <w:rFonts w:ascii="Times New Roman" w:hAnsi="Times New Roman"/>
          <w:lang w:val="en-GB"/>
        </w:rPr>
        <w:t xml:space="preserve">Unlike the findings of Probert et al. (2009), the presence/absence of the endosperm did not affect seed longevity in alpine species, while it main drivers were mean total annual rainfall, rainfall during the reproductive period and mean annual temperature. </w:t>
      </w:r>
      <w:r>
        <w:rPr>
          <w:rFonts w:ascii="Times New Roman" w:hAnsi="Times New Roman"/>
          <w:lang w:val="en-GB"/>
        </w:rPr>
        <w:t xml:space="preserve"> </w:t>
      </w:r>
    </w:p>
    <w:p w14:paraId="41572A05" w14:textId="77777777" w:rsidR="00821280" w:rsidRPr="00A5187D" w:rsidRDefault="00821280" w:rsidP="00821280">
      <w:pPr>
        <w:spacing w:line="360" w:lineRule="auto"/>
        <w:jc w:val="both"/>
        <w:rPr>
          <w:rFonts w:ascii="Times New Roman" w:hAnsi="Times New Roman"/>
          <w:lang w:val="en-GB"/>
        </w:rPr>
      </w:pPr>
      <w:r>
        <w:rPr>
          <w:rFonts w:ascii="Times New Roman" w:hAnsi="Times New Roman"/>
          <w:lang w:val="en-GB"/>
        </w:rPr>
        <w:t xml:space="preserve">Despite being short-lived, seed longevity of alpine plants also varied significantly both across and within species, from </w:t>
      </w:r>
      <w:r w:rsidRPr="0095464E">
        <w:rPr>
          <w:rFonts w:ascii="Times New Roman" w:hAnsi="Times New Roman"/>
          <w:lang w:val="en-GB"/>
        </w:rPr>
        <w:t>4.7</w:t>
      </w:r>
      <w:r>
        <w:rPr>
          <w:rFonts w:ascii="Times New Roman" w:hAnsi="Times New Roman"/>
          <w:lang w:val="en-GB"/>
        </w:rPr>
        <w:t xml:space="preserve"> to </w:t>
      </w:r>
      <w:r w:rsidRPr="0095464E">
        <w:rPr>
          <w:rFonts w:ascii="Times New Roman" w:hAnsi="Times New Roman"/>
          <w:lang w:val="en-GB"/>
        </w:rPr>
        <w:t>95.4 d</w:t>
      </w:r>
      <w:r>
        <w:rPr>
          <w:rFonts w:ascii="Times New Roman" w:hAnsi="Times New Roman"/>
          <w:lang w:val="en-GB"/>
        </w:rPr>
        <w:t xml:space="preserve">ays </w:t>
      </w:r>
      <w:r w:rsidRPr="004E50D3">
        <w:rPr>
          <w:rFonts w:ascii="Times New Roman" w:hAnsi="Times New Roman"/>
          <w:lang w:val="en-GB"/>
        </w:rPr>
        <w:t>in the time taken for viability to fall to 50%</w:t>
      </w:r>
      <w:r>
        <w:rPr>
          <w:rFonts w:ascii="Times New Roman" w:hAnsi="Times New Roman"/>
          <w:lang w:val="en-GB"/>
        </w:rPr>
        <w:t xml:space="preserve"> (Mondoni et al. 2011), suggesting that other factors, beyond macroclimate and taxonomy, could affect seed longevity. However, since then no further studies have been conducted to better investigate seed longevity drives in such threatened group of species. </w:t>
      </w:r>
    </w:p>
    <w:p w14:paraId="47F3D510" w14:textId="77777777" w:rsidR="00821280" w:rsidRDefault="00821280" w:rsidP="00821280">
      <w:pPr>
        <w:spacing w:line="360" w:lineRule="auto"/>
        <w:jc w:val="both"/>
        <w:rPr>
          <w:rFonts w:ascii="Times New Roman" w:hAnsi="Times New Roman"/>
          <w:lang w:val="en-GB"/>
        </w:rPr>
      </w:pPr>
      <w:r>
        <w:rPr>
          <w:rFonts w:ascii="Times New Roman" w:hAnsi="Times New Roman"/>
          <w:lang w:val="en-GB"/>
        </w:rPr>
        <w:t xml:space="preserve">As previous authors have shown </w:t>
      </w:r>
      <w:commentRangeStart w:id="2"/>
      <w:r w:rsidRPr="005B27EC">
        <w:rPr>
          <w:rFonts w:ascii="Times New Roman" w:hAnsi="Times New Roman"/>
          <w:lang w:val="en-GB"/>
        </w:rPr>
        <w:t>(Mondoni et al., 2011, 2014; Probert et al., 2009; Seglias, 2022)</w:t>
      </w:r>
      <w:commentRangeEnd w:id="2"/>
      <w:r>
        <w:rPr>
          <w:rStyle w:val="Refdecomentario"/>
        </w:rPr>
        <w:commentReference w:id="2"/>
      </w:r>
      <w:r>
        <w:rPr>
          <w:rFonts w:ascii="Times New Roman" w:hAnsi="Times New Roman"/>
          <w:lang w:val="en-GB"/>
        </w:rPr>
        <w:t xml:space="preserve">, seeds of alpine plants are short-lived in storage, but the longevity was variable both across alpine and lowland and within alpine species </w:t>
      </w:r>
      <w:r w:rsidRPr="00C700B4">
        <w:rPr>
          <w:rFonts w:ascii="Times New Roman" w:hAnsi="Times New Roman"/>
          <w:lang w:val="en-GB"/>
        </w:rPr>
        <w:t>(i.e.</w:t>
      </w:r>
      <w:r>
        <w:rPr>
          <w:rFonts w:ascii="Times New Roman" w:hAnsi="Times New Roman"/>
          <w:lang w:val="en-GB"/>
        </w:rPr>
        <w:t>, seed from alpine species are shorter-lived but with a lot of variance</w:t>
      </w:r>
      <w:r w:rsidRPr="00C700B4">
        <w:rPr>
          <w:rFonts w:ascii="Times New Roman" w:hAnsi="Times New Roman"/>
          <w:lang w:val="en-GB"/>
        </w:rPr>
        <w:t>;</w:t>
      </w:r>
      <w:r w:rsidRPr="00413E93">
        <w:rPr>
          <w:rFonts w:ascii="Times New Roman" w:hAnsi="Times New Roman"/>
          <w:lang w:val="en-GB"/>
        </w:rPr>
        <w:t xml:space="preserve"> </w:t>
      </w:r>
      <w:r w:rsidRPr="00EE5A5F">
        <w:rPr>
          <w:rFonts w:ascii="Times New Roman" w:hAnsi="Times New Roman"/>
          <w:lang w:val="en-GB"/>
        </w:rPr>
        <w:t>Mondoni et al., 2011</w:t>
      </w:r>
      <w:r>
        <w:rPr>
          <w:rFonts w:ascii="Times New Roman" w:hAnsi="Times New Roman"/>
          <w:lang w:val="en-GB"/>
        </w:rPr>
        <w:t>).  In this vein, considering the high topographic diversity of alpine landscape (</w:t>
      </w:r>
      <w:r w:rsidRPr="00FF06FE">
        <w:rPr>
          <w:rFonts w:ascii="Times New Roman" w:hAnsi="Times New Roman"/>
          <w:lang w:val="en-GB"/>
        </w:rPr>
        <w:t>Körner et al., 201</w:t>
      </w:r>
      <w:r>
        <w:rPr>
          <w:rFonts w:ascii="Times New Roman" w:hAnsi="Times New Roman"/>
          <w:lang w:val="en-GB"/>
        </w:rPr>
        <w:t>1) and its related microclimatic variability</w:t>
      </w:r>
      <w:r w:rsidRPr="00413E93">
        <w:rPr>
          <w:rFonts w:ascii="Times New Roman" w:hAnsi="Times New Roman"/>
          <w:lang w:val="en-GB"/>
        </w:rPr>
        <w:t>,</w:t>
      </w:r>
      <w:r>
        <w:rPr>
          <w:rFonts w:ascii="Times New Roman" w:hAnsi="Times New Roman"/>
          <w:lang w:val="en-GB"/>
        </w:rPr>
        <w:t xml:space="preserve"> the possibility that microenvironmental conditions further drive seed longevity across alpine species cannot be ruled out.</w:t>
      </w:r>
    </w:p>
    <w:p w14:paraId="70419915" w14:textId="77777777" w:rsidR="00821280" w:rsidRDefault="00821280" w:rsidP="00821280">
      <w:pPr>
        <w:spacing w:line="360" w:lineRule="auto"/>
        <w:jc w:val="both"/>
        <w:rPr>
          <w:rFonts w:ascii="Times New Roman" w:hAnsi="Times New Roman"/>
          <w:lang w:val="en-GB"/>
        </w:rPr>
      </w:pPr>
      <w:r>
        <w:rPr>
          <w:rFonts w:ascii="Times New Roman" w:hAnsi="Times New Roman"/>
          <w:lang w:val="en-GB"/>
        </w:rPr>
        <w:t xml:space="preserve">Scherrer and Körner (2011) verified the topographic variability of the alpine terrains, which create many little thermal habitats and from which the vegetal species distribution is dependent, since the found species were ascribable to the “subalpine”, “alpine” and “nival” categories and, depending on the conditions of their microhabitats. The relation between seed longevity and microclimatic conditions is therefore plausible but still unknown. The aim of this dissertation is to investigate this relationship, through the collection of seed longevity data via accelerated </w:t>
      </w:r>
      <w:r w:rsidRPr="00351D9A">
        <w:rPr>
          <w:rFonts w:ascii="Times New Roman" w:hAnsi="Times New Roman"/>
          <w:lang w:val="en-GB"/>
        </w:rPr>
        <w:t xml:space="preserve">ageing protocol (Davies et al., 2016). This ageing protocol allows to speed the </w:t>
      </w:r>
      <w:r>
        <w:rPr>
          <w:rFonts w:ascii="Times New Roman" w:hAnsi="Times New Roman"/>
          <w:lang w:val="en-GB"/>
        </w:rPr>
        <w:t xml:space="preserve">seed </w:t>
      </w:r>
      <w:r w:rsidRPr="00351D9A">
        <w:rPr>
          <w:rFonts w:ascii="Times New Roman" w:hAnsi="Times New Roman"/>
          <w:lang w:val="en-GB"/>
        </w:rPr>
        <w:t>ageing</w:t>
      </w:r>
      <w:r>
        <w:rPr>
          <w:rFonts w:ascii="Times New Roman" w:hAnsi="Times New Roman"/>
          <w:lang w:val="en-GB"/>
        </w:rPr>
        <w:t xml:space="preserve">, </w:t>
      </w:r>
      <w:r>
        <w:rPr>
          <w:rFonts w:ascii="Times New Roman" w:hAnsi="Times New Roman"/>
          <w:lang w:val="en-GB"/>
        </w:rPr>
        <w:lastRenderedPageBreak/>
        <w:t xml:space="preserve">thereby </w:t>
      </w:r>
      <w:r w:rsidRPr="00351D9A">
        <w:rPr>
          <w:rFonts w:ascii="Times New Roman" w:hAnsi="Times New Roman"/>
          <w:lang w:val="en-GB"/>
        </w:rPr>
        <w:t>reduc</w:t>
      </w:r>
      <w:r>
        <w:rPr>
          <w:rFonts w:ascii="Times New Roman" w:hAnsi="Times New Roman"/>
          <w:lang w:val="en-GB"/>
        </w:rPr>
        <w:t>ing</w:t>
      </w:r>
      <w:r w:rsidRPr="00351D9A">
        <w:rPr>
          <w:rFonts w:ascii="Times New Roman" w:hAnsi="Times New Roman"/>
          <w:lang w:val="en-GB"/>
        </w:rPr>
        <w:t xml:space="preserve"> the time of observation.</w:t>
      </w:r>
      <w:r>
        <w:rPr>
          <w:rFonts w:ascii="Times New Roman" w:hAnsi="Times New Roman"/>
          <w:lang w:val="en-GB"/>
        </w:rPr>
        <w:t xml:space="preserve"> In particular, we focused on two contrasting alpine microenvironments: the snowbed and fellfield.</w:t>
      </w:r>
      <w:r w:rsidRPr="005B27EC">
        <w:rPr>
          <w:lang w:val="en-US"/>
        </w:rPr>
        <w:t xml:space="preserve"> </w:t>
      </w:r>
      <w:r w:rsidRPr="00A37A8D">
        <w:rPr>
          <w:rFonts w:ascii="Times New Roman" w:hAnsi="Times New Roman"/>
          <w:lang w:val="en-GB"/>
        </w:rPr>
        <w:t>Alpine</w:t>
      </w:r>
      <w:r>
        <w:rPr>
          <w:rFonts w:ascii="Times New Roman" w:hAnsi="Times New Roman"/>
          <w:lang w:val="en-GB"/>
        </w:rPr>
        <w:t xml:space="preserve"> </w:t>
      </w:r>
      <w:r w:rsidRPr="00A37A8D">
        <w:rPr>
          <w:rFonts w:ascii="Times New Roman" w:hAnsi="Times New Roman"/>
          <w:lang w:val="en-GB"/>
        </w:rPr>
        <w:t>snowbed communities, develop in sites characterized by</w:t>
      </w:r>
      <w:r>
        <w:rPr>
          <w:rFonts w:ascii="Times New Roman" w:hAnsi="Times New Roman"/>
          <w:lang w:val="en-GB"/>
        </w:rPr>
        <w:t xml:space="preserve"> </w:t>
      </w:r>
      <w:r w:rsidRPr="00A37A8D">
        <w:rPr>
          <w:rFonts w:ascii="Times New Roman" w:hAnsi="Times New Roman"/>
          <w:lang w:val="en-GB"/>
        </w:rPr>
        <w:t>a very short snow-free period</w:t>
      </w:r>
      <w:r>
        <w:rPr>
          <w:rFonts w:ascii="Times New Roman" w:hAnsi="Times New Roman"/>
          <w:lang w:val="en-GB"/>
        </w:rPr>
        <w:t xml:space="preserve">, </w:t>
      </w:r>
      <w:r w:rsidRPr="005B1B76">
        <w:rPr>
          <w:rFonts w:ascii="Times New Roman" w:hAnsi="Times New Roman"/>
          <w:lang w:val="en-GB"/>
        </w:rPr>
        <w:t>high moisture with dense plant layer</w:t>
      </w:r>
      <w:r>
        <w:rPr>
          <w:rFonts w:ascii="Times New Roman" w:hAnsi="Times New Roman"/>
          <w:lang w:val="en-GB"/>
        </w:rPr>
        <w:t xml:space="preserve">, accumulation of substantial amounts of snow for much of the year and, on average, low productivity </w:t>
      </w:r>
      <w:r w:rsidRPr="00C4656C">
        <w:rPr>
          <w:rFonts w:ascii="Times New Roman" w:hAnsi="Times New Roman"/>
          <w:lang w:val="en-GB"/>
        </w:rPr>
        <w:t>(Björk &amp; Molau, 2007)</w:t>
      </w:r>
      <w:r>
        <w:rPr>
          <w:rFonts w:ascii="Times New Roman" w:hAnsi="Times New Roman"/>
          <w:lang w:val="en-GB"/>
        </w:rPr>
        <w:t xml:space="preserve">. At the other end of the spectrum there are fellfield communities, characterised by </w:t>
      </w:r>
      <w:r w:rsidRPr="005B27EC">
        <w:rPr>
          <w:rFonts w:ascii="Times New Roman" w:hAnsi="Times New Roman"/>
          <w:lang w:val="en-GB"/>
        </w:rPr>
        <w:t>patches exposed to freeze-t</w:t>
      </w:r>
      <w:r>
        <w:rPr>
          <w:rFonts w:ascii="Times New Roman" w:hAnsi="Times New Roman"/>
          <w:lang w:val="en-GB"/>
        </w:rPr>
        <w:t>h</w:t>
      </w:r>
      <w:r w:rsidRPr="005B27EC">
        <w:rPr>
          <w:rFonts w:ascii="Times New Roman" w:hAnsi="Times New Roman"/>
          <w:lang w:val="en-GB"/>
        </w:rPr>
        <w:t>aw cycles and dry summer periods with more open vegetatio</w:t>
      </w:r>
      <w:r>
        <w:rPr>
          <w:rFonts w:ascii="Times New Roman" w:hAnsi="Times New Roman"/>
          <w:lang w:val="en-GB"/>
        </w:rPr>
        <w:t xml:space="preserve">n </w:t>
      </w:r>
      <w:r w:rsidRPr="002F0191">
        <w:rPr>
          <w:rFonts w:ascii="Times New Roman" w:hAnsi="Times New Roman"/>
          <w:lang w:val="en-GB"/>
        </w:rPr>
        <w:t>(Block et al., 2009)</w:t>
      </w:r>
      <w:r>
        <w:rPr>
          <w:rFonts w:ascii="Times New Roman" w:hAnsi="Times New Roman"/>
          <w:lang w:val="en-GB"/>
        </w:rPr>
        <w:t xml:space="preserve">. </w:t>
      </w:r>
    </w:p>
    <w:p w14:paraId="1F9AA567" w14:textId="77777777" w:rsidR="00821280" w:rsidRDefault="00821280" w:rsidP="00821280">
      <w:pPr>
        <w:spacing w:line="360" w:lineRule="auto"/>
        <w:jc w:val="both"/>
        <w:rPr>
          <w:rFonts w:ascii="Times New Roman" w:hAnsi="Times New Roman"/>
          <w:lang w:val="en-GB"/>
        </w:rPr>
      </w:pPr>
      <w:r>
        <w:rPr>
          <w:rFonts w:ascii="Times New Roman" w:hAnsi="Times New Roman"/>
          <w:lang w:val="en-GB"/>
        </w:rPr>
        <w:t xml:space="preserve">Based on these differences, </w:t>
      </w:r>
      <w:r w:rsidRPr="00CF6226">
        <w:rPr>
          <w:rFonts w:ascii="Times New Roman" w:hAnsi="Times New Roman"/>
          <w:lang w:val="en-GB"/>
        </w:rPr>
        <w:t xml:space="preserve">we hypothesised that species from snowbed </w:t>
      </w:r>
      <w:r>
        <w:rPr>
          <w:rFonts w:ascii="Times New Roman" w:hAnsi="Times New Roman"/>
          <w:lang w:val="en-GB"/>
        </w:rPr>
        <w:t xml:space="preserve">habitats </w:t>
      </w:r>
      <w:r w:rsidRPr="00CF6226">
        <w:rPr>
          <w:rFonts w:ascii="Times New Roman" w:hAnsi="Times New Roman"/>
          <w:lang w:val="en-GB"/>
        </w:rPr>
        <w:t>have short-lived seeds in</w:t>
      </w:r>
      <w:r>
        <w:rPr>
          <w:rFonts w:ascii="Times New Roman" w:hAnsi="Times New Roman"/>
          <w:lang w:val="en-GB"/>
        </w:rPr>
        <w:t xml:space="preserve"> </w:t>
      </w:r>
      <w:r w:rsidRPr="00CF6226">
        <w:rPr>
          <w:rFonts w:ascii="Times New Roman" w:hAnsi="Times New Roman"/>
          <w:lang w:val="en-GB"/>
        </w:rPr>
        <w:t>storage because of their lower temperatures, shorter growing season and higher</w:t>
      </w:r>
      <w:r>
        <w:rPr>
          <w:rFonts w:ascii="Times New Roman" w:hAnsi="Times New Roman"/>
          <w:lang w:val="en-GB"/>
        </w:rPr>
        <w:t xml:space="preserve"> </w:t>
      </w:r>
      <w:r w:rsidRPr="00CF6226">
        <w:rPr>
          <w:rFonts w:ascii="Times New Roman" w:hAnsi="Times New Roman"/>
          <w:lang w:val="en-GB"/>
        </w:rPr>
        <w:t>humidity, while species from fellfields are longer-lived</w:t>
      </w:r>
      <w:r>
        <w:rPr>
          <w:rFonts w:ascii="Times New Roman" w:hAnsi="Times New Roman"/>
          <w:lang w:val="en-GB"/>
        </w:rPr>
        <w:t>, being more adapted to a warmer and more heterogenous environment</w:t>
      </w:r>
      <w:r w:rsidRPr="00CF6226">
        <w:rPr>
          <w:rFonts w:ascii="Times New Roman" w:hAnsi="Times New Roman"/>
          <w:lang w:val="en-GB"/>
        </w:rPr>
        <w:t>.</w:t>
      </w:r>
      <w:r>
        <w:rPr>
          <w:rFonts w:ascii="Times New Roman" w:hAnsi="Times New Roman"/>
          <w:lang w:val="en-GB"/>
        </w:rPr>
        <w:t xml:space="preserve"> </w:t>
      </w:r>
    </w:p>
    <w:p w14:paraId="0AC8341E" w14:textId="77777777" w:rsidR="00821280" w:rsidRDefault="00821280" w:rsidP="00821280">
      <w:pPr>
        <w:spacing w:line="360" w:lineRule="auto"/>
        <w:jc w:val="both"/>
        <w:rPr>
          <w:rFonts w:ascii="Times New Roman" w:hAnsi="Times New Roman"/>
          <w:lang w:val="en-GB"/>
        </w:rPr>
      </w:pPr>
      <w:commentRangeStart w:id="3"/>
      <w:r>
        <w:rPr>
          <w:rFonts w:ascii="Times New Roman" w:hAnsi="Times New Roman"/>
          <w:lang w:val="en-GB"/>
        </w:rPr>
        <w:t xml:space="preserve">In addition to microhabitat differences the alpine belt is characterised by a large diversity of plants </w:t>
      </w:r>
      <w:r w:rsidRPr="007A26D0">
        <w:rPr>
          <w:rFonts w:ascii="Times New Roman" w:hAnsi="Times New Roman"/>
          <w:lang w:val="en-GB"/>
        </w:rPr>
        <w:t>(Korner 2003)</w:t>
      </w:r>
      <w:r w:rsidRPr="00C700B4">
        <w:rPr>
          <w:rFonts w:ascii="Times New Roman" w:hAnsi="Times New Roman"/>
          <w:highlight w:val="yellow"/>
          <w:lang w:val="en-GB"/>
        </w:rPr>
        <w:t>,</w:t>
      </w:r>
      <w:r>
        <w:rPr>
          <w:rFonts w:ascii="Times New Roman" w:hAnsi="Times New Roman"/>
          <w:lang w:val="en-GB"/>
        </w:rPr>
        <w:t xml:space="preserve"> of which only a fraction can be considered alpine specialist (i.e., living only above the high elevation treeline), while several other can </w:t>
      </w:r>
      <w:r w:rsidRPr="0060352E">
        <w:rPr>
          <w:rFonts w:ascii="Times New Roman" w:hAnsi="Times New Roman"/>
          <w:lang w:val="en-GB"/>
        </w:rPr>
        <w:t>occur also at lower elevations</w:t>
      </w:r>
      <w:r>
        <w:rPr>
          <w:rFonts w:ascii="Times New Roman" w:hAnsi="Times New Roman"/>
          <w:lang w:val="en-GB"/>
        </w:rPr>
        <w:t xml:space="preserve"> and, therefore, at warmer climate (i.e., generalist</w:t>
      </w:r>
      <w:r w:rsidRPr="0060352E">
        <w:rPr>
          <w:rFonts w:ascii="Times New Roman" w:hAnsi="Times New Roman"/>
          <w:lang w:val="en-GB"/>
        </w:rPr>
        <w:t xml:space="preserve"> species</w:t>
      </w:r>
      <w:r>
        <w:rPr>
          <w:rFonts w:ascii="Times New Roman" w:hAnsi="Times New Roman"/>
          <w:lang w:val="en-GB"/>
        </w:rPr>
        <w:t xml:space="preserve">). </w:t>
      </w:r>
      <w:r w:rsidRPr="0060352E">
        <w:rPr>
          <w:rFonts w:ascii="Times New Roman" w:hAnsi="Times New Roman"/>
          <w:lang w:val="en-GB"/>
        </w:rPr>
        <w:t>W</w:t>
      </w:r>
      <w:r>
        <w:rPr>
          <w:rFonts w:ascii="Times New Roman" w:hAnsi="Times New Roman"/>
          <w:lang w:val="en-GB"/>
        </w:rPr>
        <w:t xml:space="preserve">e </w:t>
      </w:r>
      <w:r w:rsidRPr="0060352E">
        <w:rPr>
          <w:rFonts w:ascii="Times New Roman" w:hAnsi="Times New Roman"/>
          <w:lang w:val="en-GB"/>
        </w:rPr>
        <w:t xml:space="preserve">can expect that the former group will show </w:t>
      </w:r>
      <w:r>
        <w:rPr>
          <w:rFonts w:ascii="Times New Roman" w:hAnsi="Times New Roman"/>
          <w:lang w:val="en-GB"/>
        </w:rPr>
        <w:t>short lived seed</w:t>
      </w:r>
      <w:r w:rsidRPr="0060352E">
        <w:rPr>
          <w:rFonts w:ascii="Times New Roman" w:hAnsi="Times New Roman"/>
          <w:lang w:val="en-GB"/>
        </w:rPr>
        <w:t xml:space="preserve">, </w:t>
      </w:r>
      <w:r>
        <w:rPr>
          <w:rFonts w:ascii="Times New Roman" w:hAnsi="Times New Roman"/>
          <w:lang w:val="en-GB"/>
        </w:rPr>
        <w:t>compared to</w:t>
      </w:r>
      <w:r w:rsidRPr="0060352E">
        <w:rPr>
          <w:rFonts w:ascii="Times New Roman" w:hAnsi="Times New Roman"/>
          <w:lang w:val="en-GB"/>
        </w:rPr>
        <w:t xml:space="preserve"> the latter.</w:t>
      </w:r>
      <w:r>
        <w:rPr>
          <w:rFonts w:ascii="Times New Roman" w:hAnsi="Times New Roman"/>
          <w:lang w:val="en-GB"/>
        </w:rPr>
        <w:t xml:space="preserve"> </w:t>
      </w:r>
      <w:commentRangeEnd w:id="3"/>
      <w:r>
        <w:rPr>
          <w:rStyle w:val="Refdecomentario"/>
        </w:rPr>
        <w:commentReference w:id="3"/>
      </w:r>
    </w:p>
    <w:p w14:paraId="3D841241" w14:textId="77777777" w:rsidR="00821280" w:rsidRDefault="00821280" w:rsidP="00821280">
      <w:pPr>
        <w:spacing w:line="360" w:lineRule="auto"/>
        <w:jc w:val="both"/>
        <w:rPr>
          <w:rFonts w:ascii="Times New Roman" w:hAnsi="Times New Roman"/>
          <w:lang w:val="en-GB"/>
        </w:rPr>
      </w:pPr>
      <w:r w:rsidRPr="00700948">
        <w:rPr>
          <w:rFonts w:ascii="Times New Roman" w:hAnsi="Times New Roman"/>
          <w:lang w:val="en-GB"/>
        </w:rPr>
        <w:t>In August and September 2021</w:t>
      </w:r>
      <w:r>
        <w:rPr>
          <w:rFonts w:ascii="Times New Roman" w:hAnsi="Times New Roman"/>
          <w:lang w:val="en-GB"/>
        </w:rPr>
        <w:t>,</w:t>
      </w:r>
      <w:r w:rsidRPr="00700948">
        <w:rPr>
          <w:rFonts w:ascii="Times New Roman" w:hAnsi="Times New Roman"/>
          <w:lang w:val="en-GB"/>
        </w:rPr>
        <w:t xml:space="preserve"> we collected seeds from 25 co-occurring species in alpine grassland communities (</w:t>
      </w:r>
      <w:r>
        <w:rPr>
          <w:rFonts w:ascii="Times New Roman" w:hAnsi="Times New Roman"/>
          <w:lang w:val="en-GB"/>
        </w:rPr>
        <w:t>T</w:t>
      </w:r>
      <w:r w:rsidRPr="00700948">
        <w:rPr>
          <w:rFonts w:ascii="Times New Roman" w:hAnsi="Times New Roman"/>
          <w:lang w:val="en-GB"/>
        </w:rPr>
        <w:t xml:space="preserve">able 1), then stored at 22°C and 35% RH until the start of the </w:t>
      </w:r>
      <w:r>
        <w:rPr>
          <w:rFonts w:ascii="Times New Roman" w:hAnsi="Times New Roman"/>
          <w:lang w:val="en-GB"/>
        </w:rPr>
        <w:t xml:space="preserve">aging </w:t>
      </w:r>
      <w:r w:rsidRPr="00700948">
        <w:rPr>
          <w:rFonts w:ascii="Times New Roman" w:hAnsi="Times New Roman"/>
          <w:lang w:val="en-GB"/>
        </w:rPr>
        <w:t>protocol in January 2022. All species were classified according to their habitat distribution, specialist meaning strict alpine or not-specialist meaning generalist; and also</w:t>
      </w:r>
      <w:r>
        <w:rPr>
          <w:rFonts w:ascii="Times New Roman" w:hAnsi="Times New Roman"/>
          <w:lang w:val="en-GB"/>
        </w:rPr>
        <w:t>,</w:t>
      </w:r>
      <w:r w:rsidRPr="00700948">
        <w:rPr>
          <w:rFonts w:ascii="Times New Roman" w:hAnsi="Times New Roman"/>
          <w:lang w:val="en-GB"/>
        </w:rPr>
        <w:t xml:space="preserve"> according to their microenvironment preference: fellfield, snowbed or neutral. Their microenvironment preference was based on DCA scores of 80 1</w:t>
      </w:r>
      <w:r>
        <w:rPr>
          <w:rFonts w:ascii="Times New Roman" w:hAnsi="Times New Roman"/>
          <w:lang w:val="en-GB"/>
        </w:rPr>
        <w:t xml:space="preserve"> </w:t>
      </w:r>
      <w:r w:rsidRPr="00700948">
        <w:rPr>
          <w:rFonts w:ascii="Times New Roman" w:hAnsi="Times New Roman"/>
          <w:lang w:val="en-GB"/>
        </w:rPr>
        <w:t>m</w:t>
      </w:r>
      <w:r>
        <w:rPr>
          <w:rFonts w:ascii="Times New Roman" w:hAnsi="Times New Roman"/>
          <w:vertAlign w:val="superscript"/>
          <w:lang w:val="en-GB"/>
        </w:rPr>
        <w:t>2</w:t>
      </w:r>
      <w:r w:rsidRPr="00700948">
        <w:rPr>
          <w:rFonts w:ascii="Times New Roman" w:hAnsi="Times New Roman"/>
          <w:lang w:val="en-GB"/>
        </w:rPr>
        <w:t xml:space="preserve"> </w:t>
      </w:r>
      <w:r>
        <w:rPr>
          <w:rFonts w:ascii="Times New Roman" w:hAnsi="Times New Roman"/>
          <w:lang w:val="en-GB"/>
        </w:rPr>
        <w:t xml:space="preserve">botanical </w:t>
      </w:r>
      <w:r w:rsidRPr="00700948">
        <w:rPr>
          <w:rFonts w:ascii="Times New Roman" w:hAnsi="Times New Roman"/>
          <w:lang w:val="en-GB"/>
        </w:rPr>
        <w:t>inventories conducted during 2019 and 2021 summer.</w:t>
      </w:r>
    </w:p>
    <w:p w14:paraId="0EBD19AA" w14:textId="77777777" w:rsidR="00821280" w:rsidRPr="004D6552" w:rsidRDefault="00821280" w:rsidP="00821280">
      <w:pPr>
        <w:spacing w:line="360" w:lineRule="auto"/>
        <w:ind w:firstLine="708"/>
        <w:jc w:val="both"/>
        <w:outlineLvl w:val="1"/>
        <w:rPr>
          <w:rFonts w:ascii="Times New Roman" w:hAnsi="Times New Roman"/>
          <w:b/>
          <w:bCs/>
          <w:lang w:val="en-GB"/>
        </w:rPr>
      </w:pPr>
      <w:bookmarkStart w:id="4" w:name="_Toc120029905"/>
      <w:r>
        <w:rPr>
          <w:rFonts w:ascii="Times New Roman" w:hAnsi="Times New Roman"/>
          <w:b/>
          <w:bCs/>
          <w:lang w:val="en-GB"/>
        </w:rPr>
        <w:t>3.3. Lab protocol</w:t>
      </w:r>
      <w:bookmarkEnd w:id="4"/>
    </w:p>
    <w:p w14:paraId="078E3E44" w14:textId="77777777" w:rsidR="00821280" w:rsidRDefault="00821280" w:rsidP="00821280">
      <w:pPr>
        <w:spacing w:line="360" w:lineRule="auto"/>
        <w:jc w:val="both"/>
        <w:rPr>
          <w:rFonts w:ascii="Times New Roman" w:hAnsi="Times New Roman"/>
          <w:lang w:val="en-GB"/>
        </w:rPr>
      </w:pPr>
      <w:r>
        <w:rPr>
          <w:rFonts w:ascii="Times New Roman" w:hAnsi="Times New Roman"/>
          <w:lang w:val="en-GB"/>
        </w:rPr>
        <w:t xml:space="preserve">The protocol was developed by </w:t>
      </w:r>
      <w:r w:rsidRPr="004A5D63">
        <w:rPr>
          <w:rFonts w:ascii="Times New Roman" w:hAnsi="Times New Roman"/>
          <w:lang w:val="en-GB"/>
        </w:rPr>
        <w:t>Davies et al., 2016</w:t>
      </w:r>
      <w:r>
        <w:rPr>
          <w:rFonts w:ascii="Times New Roman" w:hAnsi="Times New Roman"/>
          <w:lang w:val="en-GB"/>
        </w:rPr>
        <w:t xml:space="preserve"> to accelerate the ageing and simulate long periods of ageing; in this case it’s optimised for alpine seeds, less longevous. The initial RH value was 30-35% (Hygropalm 3 display unit; Rotronic Instrument UK Ltd, Crawley ,UK), so the seeds (200 seeds per species) were rehydrated (Cisteaceae needed a scarification with sand paper) to 47% RH at 20°C for 5 days in a non-saturated LiCl solution </w:t>
      </w:r>
      <w:r w:rsidRPr="004A2A41">
        <w:rPr>
          <w:rFonts w:ascii="Times New Roman" w:hAnsi="Times New Roman"/>
          <w:lang w:val="en-GB"/>
        </w:rPr>
        <w:t>(Hay et al., 2008)</w:t>
      </w:r>
      <w:r>
        <w:rPr>
          <w:rFonts w:ascii="Times New Roman" w:hAnsi="Times New Roman"/>
          <w:lang w:val="en-GB"/>
        </w:rPr>
        <w:t xml:space="preserve"> in crystal vials and kept in a 300 x 300 x 130 mm sealed electric enclosure box (Ensto UK Ltd, Southampton, UK) before moving the vials into the ageing conditions. The ageing conditions consisted in a temperature of 45+/-2 °C, a RH of 60% and absence of light. A subsample of 42 seeds were withdrawn after 2, 10, 15 and 30 days and sowed in petri dishes 1% agar with 250 ml/L of GA3 (</w:t>
      </w:r>
      <w:r w:rsidRPr="00722E0E">
        <w:rPr>
          <w:rFonts w:ascii="Times New Roman" w:hAnsi="Times New Roman"/>
          <w:lang w:val="en-GB"/>
        </w:rPr>
        <w:t>Kew Royal Botanic Garden Technical Information sheet_13a)</w:t>
      </w:r>
      <w:r>
        <w:rPr>
          <w:rFonts w:ascii="Times New Roman" w:hAnsi="Times New Roman"/>
          <w:lang w:val="en-GB"/>
        </w:rPr>
        <w:t xml:space="preserve">, in some species the amount of seeds for subsamples was reduced due to the lack of seeds. After the sowing, seeds were checked </w:t>
      </w:r>
      <w:r>
        <w:rPr>
          <w:rFonts w:ascii="Times New Roman" w:hAnsi="Times New Roman"/>
          <w:lang w:val="en-GB"/>
        </w:rPr>
        <w:lastRenderedPageBreak/>
        <w:t>once a week during one month, in which the germination was scored removing the seedlings with a visible root (longer than 2,5 mm); after the end of each germination test the ungerminated seeds were cut-tested to confirm the state of the embyo visually. The petri dishes were held with a daily cycle of temperature and light:</w:t>
      </w:r>
    </w:p>
    <w:p w14:paraId="76F77052" w14:textId="77777777" w:rsidR="00821280" w:rsidRPr="004C7A0E" w:rsidRDefault="00821280" w:rsidP="00821280">
      <w:pPr>
        <w:pStyle w:val="Prrafodelista"/>
        <w:numPr>
          <w:ilvl w:val="0"/>
          <w:numId w:val="3"/>
        </w:numPr>
        <w:spacing w:line="360" w:lineRule="auto"/>
        <w:jc w:val="both"/>
        <w:rPr>
          <w:rFonts w:ascii="Times New Roman" w:hAnsi="Times New Roman"/>
          <w:sz w:val="24"/>
          <w:szCs w:val="24"/>
          <w:lang w:val="en-GB"/>
        </w:rPr>
      </w:pPr>
      <w:r>
        <w:rPr>
          <w:rFonts w:ascii="Times New Roman" w:hAnsi="Times New Roman"/>
          <w:sz w:val="24"/>
          <w:szCs w:val="24"/>
          <w:lang w:val="en-GB"/>
        </w:rPr>
        <w:t xml:space="preserve">12h at </w:t>
      </w:r>
      <w:r w:rsidRPr="004C7A0E">
        <w:rPr>
          <w:rFonts w:ascii="Times New Roman" w:hAnsi="Times New Roman"/>
          <w:sz w:val="24"/>
          <w:szCs w:val="24"/>
          <w:lang w:val="en-GB"/>
        </w:rPr>
        <w:t>22°C with light;</w:t>
      </w:r>
    </w:p>
    <w:p w14:paraId="0D9CEDC8" w14:textId="77777777" w:rsidR="00821280" w:rsidRDefault="00821280" w:rsidP="00821280">
      <w:pPr>
        <w:pStyle w:val="Prrafodelista"/>
        <w:numPr>
          <w:ilvl w:val="0"/>
          <w:numId w:val="3"/>
        </w:numPr>
        <w:spacing w:line="360" w:lineRule="auto"/>
        <w:jc w:val="both"/>
        <w:rPr>
          <w:rFonts w:ascii="Times New Roman" w:hAnsi="Times New Roman"/>
          <w:sz w:val="24"/>
          <w:szCs w:val="24"/>
          <w:lang w:val="en-GB"/>
        </w:rPr>
      </w:pPr>
      <w:r>
        <w:rPr>
          <w:rFonts w:ascii="Times New Roman" w:hAnsi="Times New Roman"/>
          <w:sz w:val="24"/>
          <w:szCs w:val="24"/>
          <w:lang w:val="en-GB"/>
        </w:rPr>
        <w:t xml:space="preserve">12h at </w:t>
      </w:r>
      <w:r w:rsidRPr="004C7A0E">
        <w:rPr>
          <w:rFonts w:ascii="Times New Roman" w:hAnsi="Times New Roman"/>
          <w:sz w:val="24"/>
          <w:szCs w:val="24"/>
          <w:lang w:val="en-GB"/>
        </w:rPr>
        <w:t>12°C without light.</w:t>
      </w:r>
    </w:p>
    <w:p w14:paraId="585ACC06" w14:textId="77777777" w:rsidR="00821280" w:rsidRPr="004C7A0E" w:rsidRDefault="00821280" w:rsidP="00821280">
      <w:pPr>
        <w:pStyle w:val="Prrafodelista"/>
        <w:spacing w:line="360" w:lineRule="auto"/>
        <w:ind w:left="0"/>
        <w:jc w:val="both"/>
        <w:rPr>
          <w:rFonts w:ascii="Times New Roman" w:hAnsi="Times New Roman"/>
          <w:sz w:val="24"/>
          <w:szCs w:val="24"/>
          <w:lang w:val="en-GB"/>
        </w:rPr>
      </w:pPr>
    </w:p>
    <w:p w14:paraId="2E51EF20" w14:textId="77777777" w:rsidR="00821280" w:rsidRDefault="00821280" w:rsidP="00821280">
      <w:pPr>
        <w:spacing w:line="360" w:lineRule="auto"/>
        <w:ind w:firstLine="360"/>
        <w:jc w:val="both"/>
        <w:outlineLvl w:val="1"/>
        <w:rPr>
          <w:rFonts w:ascii="Times New Roman" w:hAnsi="Times New Roman"/>
          <w:b/>
          <w:bCs/>
          <w:lang w:val="en-GB"/>
        </w:rPr>
      </w:pPr>
      <w:bookmarkStart w:id="5" w:name="_Toc120029906"/>
      <w:r>
        <w:rPr>
          <w:rFonts w:ascii="Times New Roman" w:hAnsi="Times New Roman"/>
          <w:b/>
          <w:bCs/>
          <w:lang w:val="en-GB"/>
        </w:rPr>
        <w:t>3.4. Statistics</w:t>
      </w:r>
      <w:bookmarkEnd w:id="5"/>
    </w:p>
    <w:p w14:paraId="184F7C83" w14:textId="77777777" w:rsidR="00821280" w:rsidRPr="00DC1E9A" w:rsidRDefault="00821280" w:rsidP="00821280">
      <w:pPr>
        <w:spacing w:line="360" w:lineRule="auto"/>
        <w:jc w:val="both"/>
        <w:rPr>
          <w:rFonts w:ascii="Times New Roman" w:hAnsi="Times New Roman"/>
          <w:lang w:val="en-GB"/>
        </w:rPr>
      </w:pPr>
      <w:r>
        <w:rPr>
          <w:rFonts w:ascii="Times New Roman" w:hAnsi="Times New Roman"/>
          <w:lang w:val="en-GB"/>
        </w:rPr>
        <w:t>We first applied p</w:t>
      </w:r>
      <w:r w:rsidRPr="00DC1E9A">
        <w:rPr>
          <w:rFonts w:ascii="Times New Roman" w:hAnsi="Times New Roman"/>
          <w:lang w:val="en-GB"/>
        </w:rPr>
        <w:t>robit analysis using G</w:t>
      </w:r>
      <w:r>
        <w:rPr>
          <w:rFonts w:ascii="Times New Roman" w:hAnsi="Times New Roman"/>
          <w:lang w:val="en-GB"/>
        </w:rPr>
        <w:t>enStat</w:t>
      </w:r>
      <w:r w:rsidRPr="00DC1E9A">
        <w:rPr>
          <w:rFonts w:ascii="Times New Roman" w:hAnsi="Times New Roman"/>
          <w:lang w:val="en-GB"/>
        </w:rPr>
        <w:t xml:space="preserve"> </w:t>
      </w:r>
      <w:r w:rsidRPr="000311ED">
        <w:rPr>
          <w:rFonts w:ascii="Times New Roman" w:hAnsi="Times New Roman"/>
          <w:lang w:val="en-GB"/>
        </w:rPr>
        <w:t>(Hay et al., 2014)</w:t>
      </w:r>
      <w:r w:rsidRPr="00DC1E9A">
        <w:rPr>
          <w:rFonts w:ascii="Times New Roman" w:hAnsi="Times New Roman"/>
          <w:lang w:val="en-GB"/>
        </w:rPr>
        <w:t xml:space="preserve"> to calculate </w:t>
      </w:r>
      <w:r w:rsidRPr="00DC1E9A">
        <w:rPr>
          <w:rFonts w:ascii="Times New Roman" w:hAnsi="Times New Roman"/>
          <w:i/>
          <w:iCs/>
          <w:lang w:val="en-GB"/>
        </w:rPr>
        <w:t>p</w:t>
      </w:r>
      <w:r w:rsidRPr="00DC1E9A">
        <w:rPr>
          <w:rFonts w:ascii="Times New Roman" w:hAnsi="Times New Roman"/>
          <w:i/>
          <w:iCs/>
          <w:vertAlign w:val="subscript"/>
          <w:lang w:val="en-GB"/>
        </w:rPr>
        <w:t>50</w:t>
      </w:r>
      <w:r w:rsidRPr="00DC1E9A">
        <w:rPr>
          <w:rFonts w:ascii="Times New Roman" w:hAnsi="Times New Roman"/>
          <w:lang w:val="en-GB"/>
        </w:rPr>
        <w:t xml:space="preserve">, </w:t>
      </w:r>
      <w:r w:rsidRPr="00DC1E9A">
        <w:rPr>
          <w:rFonts w:ascii="Times New Roman" w:hAnsi="Times New Roman"/>
          <w:i/>
          <w:iCs/>
          <w:lang w:val="en-GB"/>
        </w:rPr>
        <w:t>K</w:t>
      </w:r>
      <w:r w:rsidRPr="00DC1E9A">
        <w:rPr>
          <w:rFonts w:ascii="Times New Roman" w:hAnsi="Times New Roman"/>
          <w:i/>
          <w:iCs/>
          <w:vertAlign w:val="subscript"/>
          <w:lang w:val="en-GB"/>
        </w:rPr>
        <w:t>i</w:t>
      </w:r>
      <w:r w:rsidRPr="00DC1E9A">
        <w:rPr>
          <w:rFonts w:ascii="Times New Roman" w:hAnsi="Times New Roman"/>
          <w:lang w:val="en-GB"/>
        </w:rPr>
        <w:t>, and slope (</w:t>
      </w:r>
      <w:r>
        <w:rPr>
          <w:rFonts w:ascii="Times New Roman" w:hAnsi="Times New Roman"/>
          <w:lang w:val="en-GB"/>
        </w:rPr>
        <w:t>-</w:t>
      </w:r>
      <w:r w:rsidRPr="00DC1E9A">
        <w:rPr>
          <w:rFonts w:ascii="Times New Roman" w:hAnsi="Times New Roman"/>
          <w:lang w:val="en-GB"/>
        </w:rPr>
        <w:t>1/</w:t>
      </w:r>
      <w:r w:rsidRPr="00DC1E9A">
        <w:rPr>
          <w:rFonts w:ascii="Times New Roman" w:hAnsi="Times New Roman"/>
          <w:i/>
          <w:iCs/>
          <w:lang w:val="en-GB"/>
        </w:rPr>
        <w:t>σ</w:t>
      </w:r>
      <w:r w:rsidRPr="00DC1E9A">
        <w:rPr>
          <w:rFonts w:ascii="Times New Roman" w:hAnsi="Times New Roman"/>
          <w:lang w:val="en-GB"/>
        </w:rPr>
        <w:t>) and Origin to draw seed survival curves using viability equation:</w:t>
      </w:r>
    </w:p>
    <w:p w14:paraId="3C6877EB" w14:textId="77777777" w:rsidR="00821280" w:rsidRPr="004227BC" w:rsidRDefault="00821280" w:rsidP="00821280">
      <w:pPr>
        <w:spacing w:line="360" w:lineRule="auto"/>
        <w:jc w:val="center"/>
        <w:rPr>
          <w:rFonts w:ascii="Times New Roman" w:hAnsi="Times New Roman"/>
          <w:i/>
          <w:iCs/>
          <w:lang w:val="en-GB"/>
        </w:rPr>
      </w:pPr>
      <w:bookmarkStart w:id="6" w:name="_Hlk118296147"/>
      <w:r w:rsidRPr="00FF2023">
        <w:rPr>
          <w:rFonts w:ascii="Times New Roman" w:hAnsi="Times New Roman"/>
          <w:i/>
          <w:iCs/>
          <w:lang w:val="en-GB"/>
        </w:rPr>
        <w:t>v</w:t>
      </w:r>
      <w:bookmarkEnd w:id="6"/>
      <w:r w:rsidRPr="00FF2023">
        <w:rPr>
          <w:rFonts w:ascii="Times New Roman" w:hAnsi="Times New Roman"/>
          <w:i/>
          <w:iCs/>
          <w:lang w:val="en-GB"/>
        </w:rPr>
        <w:t xml:space="preserve"> = Ki – (p/</w:t>
      </w:r>
      <w:r>
        <w:rPr>
          <w:rFonts w:ascii="Times New Roman" w:hAnsi="Times New Roman"/>
          <w:i/>
          <w:iCs/>
          <w:lang w:val="en-GB"/>
        </w:rPr>
        <w:t>σ</w:t>
      </w:r>
      <w:r w:rsidRPr="00FF2023">
        <w:rPr>
          <w:rFonts w:ascii="Times New Roman" w:hAnsi="Times New Roman"/>
          <w:i/>
          <w:iCs/>
          <w:lang w:val="en-GB"/>
        </w:rPr>
        <w:t>)</w:t>
      </w:r>
    </w:p>
    <w:p w14:paraId="0ECD5368" w14:textId="77777777" w:rsidR="00821280" w:rsidRDefault="00821280" w:rsidP="00821280">
      <w:pPr>
        <w:spacing w:line="360" w:lineRule="auto"/>
        <w:jc w:val="both"/>
        <w:rPr>
          <w:rFonts w:ascii="Times New Roman" w:hAnsi="Times New Roman"/>
          <w:lang w:val="en-GB"/>
        </w:rPr>
      </w:pPr>
      <w:r>
        <w:rPr>
          <w:rFonts w:ascii="Times New Roman" w:hAnsi="Times New Roman"/>
          <w:lang w:val="en-GB"/>
        </w:rPr>
        <w:t xml:space="preserve">where </w:t>
      </w:r>
      <w:r w:rsidRPr="00FF2023">
        <w:rPr>
          <w:rFonts w:ascii="Times New Roman" w:hAnsi="Times New Roman"/>
          <w:i/>
          <w:iCs/>
          <w:lang w:val="en-GB"/>
        </w:rPr>
        <w:t>v</w:t>
      </w:r>
      <w:r>
        <w:rPr>
          <w:rFonts w:ascii="Times New Roman" w:hAnsi="Times New Roman"/>
          <w:lang w:val="en-GB"/>
        </w:rPr>
        <w:t xml:space="preserve"> is viability in </w:t>
      </w:r>
      <w:r w:rsidRPr="001936D0">
        <w:rPr>
          <w:rFonts w:ascii="Times New Roman" w:hAnsi="Times New Roman"/>
          <w:lang w:val="en-GB"/>
        </w:rPr>
        <w:t>NED (Normal equivalent deviates</w:t>
      </w:r>
      <w:r>
        <w:rPr>
          <w:rFonts w:ascii="Times New Roman" w:hAnsi="Times New Roman"/>
          <w:lang w:val="en-GB"/>
        </w:rPr>
        <w:t xml:space="preserve">), </w:t>
      </w:r>
      <w:r>
        <w:rPr>
          <w:rFonts w:ascii="Times New Roman" w:hAnsi="Times New Roman"/>
          <w:i/>
          <w:iCs/>
          <w:lang w:val="en-GB"/>
        </w:rPr>
        <w:t>p</w:t>
      </w:r>
      <w:r>
        <w:rPr>
          <w:rFonts w:ascii="Times New Roman" w:hAnsi="Times New Roman"/>
          <w:lang w:val="en-GB"/>
        </w:rPr>
        <w:t xml:space="preserve"> are the days of ageing, </w:t>
      </w:r>
      <w:r>
        <w:rPr>
          <w:rFonts w:ascii="Times New Roman" w:hAnsi="Times New Roman"/>
          <w:i/>
          <w:iCs/>
          <w:lang w:val="en-GB"/>
        </w:rPr>
        <w:t>K</w:t>
      </w:r>
      <w:r>
        <w:rPr>
          <w:rFonts w:ascii="Times New Roman" w:hAnsi="Times New Roman"/>
          <w:i/>
          <w:iCs/>
          <w:vertAlign w:val="subscript"/>
          <w:lang w:val="en-GB"/>
        </w:rPr>
        <w:t>i</w:t>
      </w:r>
      <w:r>
        <w:rPr>
          <w:rFonts w:ascii="Times New Roman" w:hAnsi="Times New Roman"/>
          <w:lang w:val="en-GB"/>
        </w:rPr>
        <w:t xml:space="preserve"> is the initial viability, </w:t>
      </w:r>
      <w:r w:rsidRPr="00FB714E">
        <w:rPr>
          <w:rFonts w:ascii="Times New Roman" w:hAnsi="Times New Roman"/>
          <w:i/>
          <w:iCs/>
          <w:lang w:val="en-GB"/>
        </w:rPr>
        <w:t>σ</w:t>
      </w:r>
      <w:r>
        <w:rPr>
          <w:rFonts w:ascii="Times New Roman" w:hAnsi="Times New Roman"/>
          <w:i/>
          <w:iCs/>
          <w:lang w:val="en-GB"/>
        </w:rPr>
        <w:t xml:space="preserve"> </w:t>
      </w:r>
      <w:r>
        <w:rPr>
          <w:rFonts w:ascii="Times New Roman" w:hAnsi="Times New Roman"/>
          <w:lang w:val="en-GB"/>
        </w:rPr>
        <w:t xml:space="preserve">is the standard deviation of the distribution of deaths over time. Then the analysis of </w:t>
      </w:r>
      <w:r>
        <w:rPr>
          <w:rFonts w:ascii="Times New Roman" w:hAnsi="Times New Roman"/>
          <w:i/>
          <w:iCs/>
          <w:lang w:val="en-GB"/>
        </w:rPr>
        <w:t>p</w:t>
      </w:r>
      <w:r>
        <w:rPr>
          <w:rFonts w:ascii="Times New Roman" w:hAnsi="Times New Roman"/>
          <w:i/>
          <w:iCs/>
          <w:vertAlign w:val="subscript"/>
          <w:lang w:val="en-GB"/>
        </w:rPr>
        <w:t>50</w:t>
      </w:r>
      <w:r>
        <w:rPr>
          <w:rFonts w:ascii="Times New Roman" w:hAnsi="Times New Roman"/>
          <w:i/>
          <w:iCs/>
          <w:lang w:val="en-GB"/>
        </w:rPr>
        <w:t>, K</w:t>
      </w:r>
      <w:r>
        <w:rPr>
          <w:rFonts w:ascii="Times New Roman" w:hAnsi="Times New Roman"/>
          <w:i/>
          <w:iCs/>
          <w:vertAlign w:val="subscript"/>
          <w:lang w:val="en-GB"/>
        </w:rPr>
        <w:t>i</w:t>
      </w:r>
      <w:r>
        <w:rPr>
          <w:rFonts w:ascii="Times New Roman" w:hAnsi="Times New Roman"/>
          <w:i/>
          <w:iCs/>
          <w:lang w:val="en-GB"/>
        </w:rPr>
        <w:t>,</w:t>
      </w:r>
      <w:r>
        <w:rPr>
          <w:rFonts w:ascii="Times New Roman" w:hAnsi="Times New Roman"/>
          <w:lang w:val="en-GB"/>
        </w:rPr>
        <w:t xml:space="preserve"> and slope were conducted in R with a </w:t>
      </w:r>
      <w:r w:rsidRPr="001936D0">
        <w:rPr>
          <w:rFonts w:ascii="Times New Roman" w:hAnsi="Times New Roman"/>
          <w:lang w:val="en-GB"/>
        </w:rPr>
        <w:t>GLM, family specified a</w:t>
      </w:r>
      <w:r>
        <w:rPr>
          <w:rFonts w:ascii="Times New Roman" w:hAnsi="Times New Roman"/>
          <w:lang w:val="en-GB"/>
        </w:rPr>
        <w:t>s</w:t>
      </w:r>
      <w:r w:rsidRPr="001936D0">
        <w:rPr>
          <w:rFonts w:ascii="Times New Roman" w:hAnsi="Times New Roman"/>
          <w:lang w:val="en-GB"/>
        </w:rPr>
        <w:t xml:space="preserve"> Gaussian</w:t>
      </w:r>
      <w:r>
        <w:rPr>
          <w:rFonts w:ascii="Times New Roman" w:hAnsi="Times New Roman"/>
          <w:lang w:val="en-GB"/>
        </w:rPr>
        <w:t>, using as fixed predictors:</w:t>
      </w:r>
    </w:p>
    <w:p w14:paraId="760578DF" w14:textId="77777777" w:rsidR="00821280" w:rsidRDefault="00821280" w:rsidP="00821280">
      <w:pPr>
        <w:pStyle w:val="Prrafodelista"/>
        <w:numPr>
          <w:ilvl w:val="0"/>
          <w:numId w:val="4"/>
        </w:numPr>
        <w:spacing w:line="360" w:lineRule="auto"/>
        <w:jc w:val="both"/>
        <w:rPr>
          <w:rFonts w:ascii="Times New Roman" w:hAnsi="Times New Roman"/>
          <w:sz w:val="24"/>
          <w:szCs w:val="24"/>
          <w:lang w:val="en-GB"/>
        </w:rPr>
      </w:pPr>
      <w:r>
        <w:rPr>
          <w:rFonts w:ascii="Times New Roman" w:hAnsi="Times New Roman"/>
          <w:sz w:val="24"/>
          <w:szCs w:val="24"/>
          <w:lang w:val="en-GB"/>
        </w:rPr>
        <w:t>species distribution;</w:t>
      </w:r>
    </w:p>
    <w:p w14:paraId="4AFAF6C7" w14:textId="77777777" w:rsidR="00821280" w:rsidRDefault="00821280" w:rsidP="00821280">
      <w:pPr>
        <w:pStyle w:val="Prrafodelista"/>
        <w:numPr>
          <w:ilvl w:val="0"/>
          <w:numId w:val="4"/>
        </w:numPr>
        <w:spacing w:line="360" w:lineRule="auto"/>
        <w:jc w:val="both"/>
        <w:rPr>
          <w:rFonts w:ascii="Times New Roman" w:hAnsi="Times New Roman"/>
          <w:sz w:val="24"/>
          <w:szCs w:val="24"/>
          <w:lang w:val="en-GB"/>
        </w:rPr>
      </w:pPr>
      <w:r>
        <w:rPr>
          <w:rFonts w:ascii="Times New Roman" w:hAnsi="Times New Roman"/>
          <w:sz w:val="24"/>
          <w:szCs w:val="24"/>
          <w:lang w:val="en-GB"/>
        </w:rPr>
        <w:t>microhabitat preference.</w:t>
      </w:r>
    </w:p>
    <w:p w14:paraId="18D9FC33" w14:textId="77777777" w:rsidR="00821280" w:rsidRPr="00DC1E9A" w:rsidRDefault="00821280" w:rsidP="00821280">
      <w:pPr>
        <w:spacing w:line="360" w:lineRule="auto"/>
        <w:jc w:val="both"/>
        <w:rPr>
          <w:rFonts w:ascii="Times New Roman" w:hAnsi="Times New Roman"/>
          <w:lang w:val="en-GB"/>
        </w:rPr>
      </w:pPr>
      <w:r>
        <w:rPr>
          <w:rFonts w:ascii="Times New Roman" w:hAnsi="Times New Roman"/>
          <w:lang w:val="en-GB"/>
        </w:rPr>
        <w:t>Germination</w:t>
      </w:r>
      <w:r w:rsidRPr="00DC1E9A">
        <w:rPr>
          <w:rFonts w:ascii="Times New Roman" w:hAnsi="Times New Roman"/>
          <w:lang w:val="en-GB"/>
        </w:rPr>
        <w:t xml:space="preserve"> indices were </w:t>
      </w:r>
      <w:r>
        <w:rPr>
          <w:rFonts w:ascii="Times New Roman" w:hAnsi="Times New Roman"/>
          <w:lang w:val="en-GB"/>
        </w:rPr>
        <w:t xml:space="preserve">also </w:t>
      </w:r>
      <w:r w:rsidRPr="00DC1E9A">
        <w:rPr>
          <w:rFonts w:ascii="Times New Roman" w:hAnsi="Times New Roman"/>
          <w:lang w:val="en-GB"/>
        </w:rPr>
        <w:t>calculated in R with GerminaR (Lozano‐Isla et al., 2019) package and three of them were used as responsive variables:</w:t>
      </w:r>
    </w:p>
    <w:p w14:paraId="7DACE413" w14:textId="77777777" w:rsidR="00821280" w:rsidRDefault="00821280" w:rsidP="00821280">
      <w:pPr>
        <w:pStyle w:val="Prrafodelista"/>
        <w:numPr>
          <w:ilvl w:val="0"/>
          <w:numId w:val="5"/>
        </w:numPr>
        <w:spacing w:line="360" w:lineRule="auto"/>
        <w:jc w:val="both"/>
        <w:rPr>
          <w:rFonts w:ascii="Times New Roman" w:hAnsi="Times New Roman"/>
          <w:sz w:val="24"/>
          <w:szCs w:val="24"/>
          <w:lang w:val="en-GB"/>
        </w:rPr>
      </w:pPr>
      <w:r>
        <w:rPr>
          <w:rFonts w:ascii="Times New Roman" w:hAnsi="Times New Roman"/>
          <w:sz w:val="24"/>
          <w:szCs w:val="24"/>
          <w:lang w:val="en-GB"/>
        </w:rPr>
        <w:t>germination percentage (GRP);</w:t>
      </w:r>
    </w:p>
    <w:p w14:paraId="6CB6ABE7" w14:textId="77777777" w:rsidR="00821280" w:rsidRDefault="00821280" w:rsidP="00821280">
      <w:pPr>
        <w:pStyle w:val="Prrafodelista"/>
        <w:numPr>
          <w:ilvl w:val="0"/>
          <w:numId w:val="5"/>
        </w:numPr>
        <w:spacing w:line="360" w:lineRule="auto"/>
        <w:jc w:val="both"/>
        <w:rPr>
          <w:rFonts w:ascii="Times New Roman" w:hAnsi="Times New Roman"/>
          <w:sz w:val="24"/>
          <w:szCs w:val="24"/>
          <w:lang w:val="en-GB"/>
        </w:rPr>
      </w:pPr>
      <w:r>
        <w:rPr>
          <w:rFonts w:ascii="Times New Roman" w:hAnsi="Times New Roman"/>
          <w:sz w:val="24"/>
          <w:szCs w:val="24"/>
          <w:lang w:val="en-GB"/>
        </w:rPr>
        <w:t>mean germination rate (MGR);</w:t>
      </w:r>
    </w:p>
    <w:p w14:paraId="36EDB8A0" w14:textId="77777777" w:rsidR="00821280" w:rsidRDefault="00821280" w:rsidP="00821280">
      <w:pPr>
        <w:pStyle w:val="Prrafodelista"/>
        <w:numPr>
          <w:ilvl w:val="0"/>
          <w:numId w:val="5"/>
        </w:numPr>
        <w:spacing w:line="360" w:lineRule="auto"/>
        <w:jc w:val="both"/>
        <w:rPr>
          <w:rFonts w:ascii="Times New Roman" w:hAnsi="Times New Roman"/>
          <w:sz w:val="24"/>
          <w:szCs w:val="24"/>
          <w:lang w:val="en-GB"/>
        </w:rPr>
      </w:pPr>
      <w:r>
        <w:rPr>
          <w:rFonts w:ascii="Times New Roman" w:hAnsi="Times New Roman"/>
          <w:sz w:val="24"/>
          <w:szCs w:val="24"/>
          <w:lang w:val="en-GB"/>
        </w:rPr>
        <w:t>synchronization index (SYN).</w:t>
      </w:r>
    </w:p>
    <w:p w14:paraId="58D0A7C4" w14:textId="77777777" w:rsidR="00821280" w:rsidRDefault="00821280" w:rsidP="00821280">
      <w:pPr>
        <w:spacing w:line="360" w:lineRule="auto"/>
        <w:jc w:val="both"/>
        <w:rPr>
          <w:rFonts w:ascii="Times New Roman" w:hAnsi="Times New Roman"/>
          <w:lang w:val="en-GB"/>
        </w:rPr>
      </w:pPr>
      <w:r>
        <w:rPr>
          <w:rFonts w:ascii="Times New Roman" w:hAnsi="Times New Roman"/>
          <w:lang w:val="en-GB"/>
        </w:rPr>
        <w:t xml:space="preserve">The three variables were analysed with </w:t>
      </w:r>
      <w:r w:rsidRPr="001936D0">
        <w:rPr>
          <w:rFonts w:ascii="Times New Roman" w:hAnsi="Times New Roman"/>
          <w:lang w:val="en-GB"/>
        </w:rPr>
        <w:t>MCMC-GLM model</w:t>
      </w:r>
      <w:r>
        <w:rPr>
          <w:rFonts w:ascii="Times New Roman" w:hAnsi="Times New Roman"/>
          <w:lang w:val="en-GB"/>
        </w:rPr>
        <w:t>s</w:t>
      </w:r>
      <w:r w:rsidRPr="001936D0">
        <w:rPr>
          <w:rFonts w:ascii="Times New Roman" w:hAnsi="Times New Roman"/>
          <w:lang w:val="en-GB"/>
        </w:rPr>
        <w:t xml:space="preserve"> using MCMglmm package in R</w:t>
      </w:r>
      <w:r>
        <w:rPr>
          <w:rFonts w:ascii="Times New Roman" w:hAnsi="Times New Roman"/>
          <w:lang w:val="en-GB"/>
        </w:rPr>
        <w:t xml:space="preserve"> </w:t>
      </w:r>
      <w:r w:rsidRPr="00642AA7">
        <w:rPr>
          <w:rFonts w:ascii="Times New Roman" w:hAnsi="Times New Roman"/>
          <w:lang w:val="en-GB"/>
        </w:rPr>
        <w:t>(Hadfield, 2010)</w:t>
      </w:r>
      <w:r>
        <w:rPr>
          <w:rFonts w:ascii="Times New Roman" w:hAnsi="Times New Roman"/>
          <w:lang w:val="en-GB"/>
        </w:rPr>
        <w:t xml:space="preserve">, including phylogeny and bedrock as random factor to consider the non-independence in the data (accessions with shared phylogeny). The phylogeny tree was created using </w:t>
      </w:r>
      <w:r w:rsidRPr="001936D0">
        <w:rPr>
          <w:rFonts w:ascii="Times New Roman" w:hAnsi="Times New Roman"/>
          <w:i/>
          <w:iCs/>
          <w:lang w:val="en-GB"/>
        </w:rPr>
        <w:t xml:space="preserve">V.PhyloMaker </w:t>
      </w:r>
      <w:r w:rsidRPr="001936D0">
        <w:rPr>
          <w:rFonts w:ascii="Times New Roman" w:hAnsi="Times New Roman"/>
          <w:lang w:val="en-GB"/>
        </w:rPr>
        <w:t>R package</w:t>
      </w:r>
      <w:r>
        <w:rPr>
          <w:rFonts w:ascii="Times New Roman" w:hAnsi="Times New Roman"/>
          <w:lang w:val="en-GB"/>
        </w:rPr>
        <w:t xml:space="preserve">. </w:t>
      </w:r>
      <w:r w:rsidRPr="004D2B65">
        <w:rPr>
          <w:rFonts w:ascii="Times New Roman" w:hAnsi="Times New Roman"/>
          <w:lang w:val="en-GB"/>
        </w:rPr>
        <w:t>The</w:t>
      </w:r>
      <w:r>
        <w:rPr>
          <w:rFonts w:ascii="Times New Roman" w:hAnsi="Times New Roman"/>
          <w:lang w:val="en-GB"/>
        </w:rPr>
        <w:t xml:space="preserve"> fixed predictors were:</w:t>
      </w:r>
    </w:p>
    <w:p w14:paraId="57C0FBA5" w14:textId="77777777" w:rsidR="00821280" w:rsidRDefault="00821280" w:rsidP="00821280">
      <w:pPr>
        <w:pStyle w:val="Prrafodelista"/>
        <w:numPr>
          <w:ilvl w:val="0"/>
          <w:numId w:val="6"/>
        </w:numPr>
        <w:spacing w:line="360" w:lineRule="auto"/>
        <w:jc w:val="both"/>
        <w:rPr>
          <w:rFonts w:ascii="Times New Roman" w:hAnsi="Times New Roman"/>
          <w:sz w:val="24"/>
          <w:szCs w:val="24"/>
          <w:lang w:val="en-GB"/>
        </w:rPr>
      </w:pPr>
      <w:r>
        <w:rPr>
          <w:rFonts w:ascii="Times New Roman" w:hAnsi="Times New Roman"/>
          <w:sz w:val="24"/>
          <w:szCs w:val="24"/>
          <w:lang w:val="en-GB"/>
        </w:rPr>
        <w:t>days in ageing conditions;</w:t>
      </w:r>
    </w:p>
    <w:p w14:paraId="2182C2EF" w14:textId="77777777" w:rsidR="00821280" w:rsidRDefault="00821280" w:rsidP="00821280">
      <w:pPr>
        <w:pStyle w:val="Prrafodelista"/>
        <w:numPr>
          <w:ilvl w:val="0"/>
          <w:numId w:val="6"/>
        </w:numPr>
        <w:spacing w:line="360" w:lineRule="auto"/>
        <w:jc w:val="both"/>
        <w:rPr>
          <w:rFonts w:ascii="Times New Roman" w:hAnsi="Times New Roman"/>
          <w:sz w:val="24"/>
          <w:szCs w:val="24"/>
          <w:lang w:val="en-GB"/>
        </w:rPr>
      </w:pPr>
      <w:r>
        <w:rPr>
          <w:rFonts w:ascii="Times New Roman" w:hAnsi="Times New Roman"/>
          <w:sz w:val="24"/>
          <w:szCs w:val="24"/>
          <w:lang w:val="en-GB"/>
        </w:rPr>
        <w:t>species distribution;</w:t>
      </w:r>
    </w:p>
    <w:p w14:paraId="307D0412" w14:textId="77777777" w:rsidR="00821280" w:rsidRDefault="00821280" w:rsidP="00821280">
      <w:pPr>
        <w:pStyle w:val="Prrafodelista"/>
        <w:numPr>
          <w:ilvl w:val="0"/>
          <w:numId w:val="6"/>
        </w:numPr>
        <w:spacing w:line="360" w:lineRule="auto"/>
        <w:jc w:val="both"/>
        <w:rPr>
          <w:rFonts w:ascii="Times New Roman" w:hAnsi="Times New Roman"/>
          <w:sz w:val="24"/>
          <w:szCs w:val="24"/>
          <w:lang w:val="en-GB"/>
        </w:rPr>
      </w:pPr>
      <w:r>
        <w:rPr>
          <w:rFonts w:ascii="Times New Roman" w:hAnsi="Times New Roman"/>
          <w:sz w:val="24"/>
          <w:szCs w:val="24"/>
          <w:lang w:val="en-GB"/>
        </w:rPr>
        <w:t>microhabitat preference</w:t>
      </w:r>
    </w:p>
    <w:p w14:paraId="4711F7B0" w14:textId="77777777" w:rsidR="00821280" w:rsidRDefault="00821280" w:rsidP="00821280">
      <w:pPr>
        <w:pStyle w:val="Prrafodelista"/>
        <w:numPr>
          <w:ilvl w:val="0"/>
          <w:numId w:val="6"/>
        </w:numPr>
        <w:spacing w:line="360" w:lineRule="auto"/>
        <w:jc w:val="both"/>
        <w:rPr>
          <w:rFonts w:ascii="Times New Roman" w:hAnsi="Times New Roman"/>
          <w:sz w:val="24"/>
          <w:szCs w:val="24"/>
          <w:lang w:val="en-GB"/>
        </w:rPr>
      </w:pPr>
      <w:r>
        <w:rPr>
          <w:rFonts w:ascii="Times New Roman" w:hAnsi="Times New Roman"/>
          <w:sz w:val="24"/>
          <w:szCs w:val="24"/>
          <w:lang w:val="en-GB"/>
        </w:rPr>
        <w:t>interaction of them except the interaction between distribution and microhabitat preference.</w:t>
      </w:r>
    </w:p>
    <w:p w14:paraId="1757E9EA" w14:textId="77777777" w:rsidR="00821280" w:rsidRPr="0089088F" w:rsidRDefault="00821280" w:rsidP="00821280">
      <w:pPr>
        <w:spacing w:line="360" w:lineRule="auto"/>
        <w:jc w:val="both"/>
        <w:rPr>
          <w:rFonts w:ascii="Times New Roman" w:hAnsi="Times New Roman"/>
          <w:lang w:val="en-GB"/>
        </w:rPr>
      </w:pPr>
      <w:r>
        <w:rPr>
          <w:rFonts w:ascii="Times New Roman" w:hAnsi="Times New Roman"/>
          <w:lang w:val="en-GB"/>
        </w:rPr>
        <w:lastRenderedPageBreak/>
        <w:t>The third analysis we performed was using raw data, where germination success or failure was considered as a binomial response variable (MCMC-GLM, multinomial2 family). The fixed predictors and the phylogeny tree were the same.</w:t>
      </w:r>
    </w:p>
    <w:p w14:paraId="22B57AB8" w14:textId="77777777" w:rsidR="00CF08B0" w:rsidRPr="0087396D" w:rsidRDefault="00CF08B0" w:rsidP="00CF08B0">
      <w:pPr>
        <w:spacing w:line="360" w:lineRule="auto"/>
        <w:ind w:firstLine="709"/>
        <w:jc w:val="both"/>
        <w:outlineLvl w:val="0"/>
        <w:rPr>
          <w:rFonts w:ascii="Times New Roman" w:hAnsi="Times New Roman"/>
          <w:b/>
          <w:bCs/>
          <w:lang w:val="en-GB"/>
        </w:rPr>
      </w:pPr>
      <w:bookmarkStart w:id="7" w:name="_Toc120029907"/>
      <w:r w:rsidRPr="0087396D">
        <w:rPr>
          <w:rFonts w:ascii="Times New Roman" w:hAnsi="Times New Roman"/>
          <w:b/>
          <w:bCs/>
          <w:lang w:val="en-GB"/>
        </w:rPr>
        <w:t>4. RESULTS</w:t>
      </w:r>
      <w:bookmarkEnd w:id="7"/>
    </w:p>
    <w:p w14:paraId="2731ADFA" w14:textId="77777777" w:rsidR="00CF08B0" w:rsidRPr="0087396D" w:rsidRDefault="00CF08B0" w:rsidP="00CF08B0">
      <w:pPr>
        <w:spacing w:line="360" w:lineRule="auto"/>
        <w:ind w:firstLine="709"/>
        <w:jc w:val="both"/>
        <w:outlineLvl w:val="1"/>
        <w:rPr>
          <w:rFonts w:ascii="Times New Roman" w:hAnsi="Times New Roman"/>
          <w:b/>
          <w:bCs/>
          <w:lang w:val="en-GB"/>
        </w:rPr>
      </w:pPr>
      <w:bookmarkStart w:id="8" w:name="_Toc120029908"/>
      <w:r w:rsidRPr="0087396D">
        <w:rPr>
          <w:rFonts w:ascii="Times New Roman" w:hAnsi="Times New Roman"/>
          <w:b/>
          <w:bCs/>
          <w:lang w:val="en-GB"/>
        </w:rPr>
        <w:t>4.1. Probit analysis</w:t>
      </w:r>
      <w:bookmarkEnd w:id="8"/>
    </w:p>
    <w:p w14:paraId="37EC0E16" w14:textId="77777777" w:rsidR="00CF08B0" w:rsidRDefault="00CF08B0" w:rsidP="00CF08B0">
      <w:pPr>
        <w:spacing w:line="360" w:lineRule="auto"/>
        <w:jc w:val="both"/>
        <w:rPr>
          <w:rFonts w:ascii="Times New Roman" w:hAnsi="Times New Roman"/>
          <w:bCs/>
          <w:lang w:val="en-GB"/>
        </w:rPr>
      </w:pPr>
      <w:r>
        <w:rPr>
          <w:rFonts w:ascii="Times New Roman" w:hAnsi="Times New Roman"/>
          <w:bCs/>
          <w:lang w:val="en-GB"/>
        </w:rPr>
        <w:t>Probit analysis was used to obtain p50, Ki and slope values. However, when tested in MCMC-GLMM models no significant differences were detected.</w:t>
      </w:r>
    </w:p>
    <w:p w14:paraId="75E539A8" w14:textId="77777777" w:rsidR="00CF08B0" w:rsidRDefault="00CF08B0" w:rsidP="00CF08B0">
      <w:pPr>
        <w:spacing w:line="360" w:lineRule="auto"/>
        <w:jc w:val="both"/>
        <w:rPr>
          <w:rFonts w:ascii="Times New Roman" w:hAnsi="Times New Roman"/>
          <w:bCs/>
          <w:lang w:val="en-GB"/>
        </w:rPr>
      </w:pPr>
    </w:p>
    <w:p w14:paraId="75E1CFCC" w14:textId="77777777" w:rsidR="00CF08B0" w:rsidRDefault="00CF08B0" w:rsidP="00CF08B0">
      <w:pPr>
        <w:spacing w:line="360" w:lineRule="auto"/>
        <w:jc w:val="both"/>
        <w:outlineLvl w:val="1"/>
        <w:rPr>
          <w:rFonts w:ascii="Times New Roman" w:hAnsi="Times New Roman"/>
          <w:b/>
          <w:lang w:val="en-GB"/>
        </w:rPr>
      </w:pPr>
      <w:r>
        <w:rPr>
          <w:rFonts w:ascii="Times New Roman" w:hAnsi="Times New Roman"/>
          <w:bCs/>
          <w:lang w:val="en-GB"/>
        </w:rPr>
        <w:tab/>
      </w:r>
      <w:bookmarkStart w:id="9" w:name="_Toc120029909"/>
      <w:r>
        <w:rPr>
          <w:rFonts w:ascii="Times New Roman" w:hAnsi="Times New Roman"/>
          <w:b/>
          <w:lang w:val="en-GB"/>
        </w:rPr>
        <w:t>4.2. R analysis</w:t>
      </w:r>
      <w:bookmarkEnd w:id="9"/>
    </w:p>
    <w:p w14:paraId="72EDC95B" w14:textId="77777777" w:rsidR="00CF08B0" w:rsidRDefault="00CF08B0" w:rsidP="00CF08B0">
      <w:pPr>
        <w:spacing w:line="360" w:lineRule="auto"/>
        <w:jc w:val="both"/>
        <w:rPr>
          <w:rFonts w:ascii="Times New Roman" w:hAnsi="Times New Roman"/>
          <w:lang w:val="en-GB"/>
        </w:rPr>
      </w:pPr>
      <w:r>
        <w:rPr>
          <w:rFonts w:ascii="Times New Roman" w:hAnsi="Times New Roman"/>
          <w:lang w:val="en-GB"/>
        </w:rPr>
        <w:t>All the species responded to the ageing protocol: the results show a decline in germination capacity, meaning that they lose viability with increasing ageing days. The sole species distribution (Habitat) had no significant impact on germination capacity (p=0,746; Fig. 8).</w:t>
      </w:r>
    </w:p>
    <w:p w14:paraId="275298D4" w14:textId="77777777" w:rsidR="00CF08B0" w:rsidRPr="00A15184" w:rsidRDefault="00CF08B0" w:rsidP="00CF08B0">
      <w:pPr>
        <w:spacing w:line="360" w:lineRule="auto"/>
        <w:jc w:val="both"/>
        <w:rPr>
          <w:rFonts w:ascii="Times New Roman" w:hAnsi="Times New Roman"/>
          <w:bCs/>
          <w:lang w:val="en-GB"/>
        </w:rPr>
      </w:pPr>
    </w:p>
    <w:p w14:paraId="26BDBEBB" w14:textId="77777777" w:rsidR="00CF08B0" w:rsidRPr="0087396D" w:rsidRDefault="00CF08B0" w:rsidP="00CF08B0">
      <w:pPr>
        <w:spacing w:line="360" w:lineRule="auto"/>
        <w:jc w:val="both"/>
        <w:rPr>
          <w:rFonts w:ascii="Times New Roman" w:hAnsi="Times New Roman"/>
          <w:lang w:val="en-GB"/>
        </w:rPr>
      </w:pPr>
      <w:r>
        <w:rPr>
          <w:rFonts w:ascii="Times New Roman" w:hAnsi="Times New Roman"/>
          <w:noProof/>
          <w:lang w:eastAsia="ca-ES"/>
        </w:rPr>
        <w:drawing>
          <wp:inline distT="0" distB="0" distL="0" distR="0" wp14:anchorId="4206FAC2" wp14:editId="20CEAF2F">
            <wp:extent cx="5686425" cy="3028950"/>
            <wp:effectExtent l="0" t="0" r="9525" b="0"/>
            <wp:docPr id="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3028950"/>
                    </a:xfrm>
                    <a:prstGeom prst="rect">
                      <a:avLst/>
                    </a:prstGeom>
                    <a:noFill/>
                    <a:ln>
                      <a:noFill/>
                    </a:ln>
                  </pic:spPr>
                </pic:pic>
              </a:graphicData>
            </a:graphic>
          </wp:inline>
        </w:drawing>
      </w:r>
    </w:p>
    <w:p w14:paraId="584ACADF" w14:textId="77777777" w:rsidR="00CF08B0" w:rsidRPr="00C558EF" w:rsidRDefault="00CF08B0" w:rsidP="00CF08B0">
      <w:pPr>
        <w:pStyle w:val="Descripcin"/>
        <w:keepNext/>
        <w:jc w:val="both"/>
        <w:rPr>
          <w:rFonts w:ascii="Times New Roman" w:hAnsi="Times New Roman"/>
          <w:color w:val="000000"/>
          <w:sz w:val="20"/>
          <w:szCs w:val="20"/>
          <w:lang w:val="en-GB"/>
        </w:rPr>
      </w:pPr>
      <w:r w:rsidRPr="00C558EF">
        <w:rPr>
          <w:rFonts w:ascii="Times New Roman" w:hAnsi="Times New Roman"/>
          <w:color w:val="000000"/>
          <w:sz w:val="20"/>
          <w:szCs w:val="20"/>
          <w:lang w:val="en-GB"/>
        </w:rPr>
        <w:t xml:space="preserve">Fig.8: Germination success declines depending on the ageing days, but without differences depending on distribution. Point represents raw data, line average values and error bar represent 95% confidence interval; blue color for strict alpine species and yellow for generalist species.  </w:t>
      </w:r>
    </w:p>
    <w:p w14:paraId="4855BD08" w14:textId="77777777" w:rsidR="00CF08B0" w:rsidRPr="0087396D" w:rsidRDefault="00CF08B0" w:rsidP="00CF08B0">
      <w:pPr>
        <w:pStyle w:val="Descripcin"/>
        <w:keepNext/>
        <w:jc w:val="both"/>
        <w:rPr>
          <w:lang w:val="en-GB"/>
        </w:rPr>
      </w:pPr>
    </w:p>
    <w:p w14:paraId="1C41A497" w14:textId="77777777" w:rsidR="00CF08B0" w:rsidRDefault="00CF08B0" w:rsidP="00CF08B0">
      <w:pPr>
        <w:spacing w:line="360" w:lineRule="auto"/>
        <w:jc w:val="both"/>
        <w:rPr>
          <w:rFonts w:ascii="Times New Roman" w:hAnsi="Times New Roman"/>
          <w:lang w:val="en-GB"/>
        </w:rPr>
      </w:pPr>
      <w:r w:rsidRPr="0087396D">
        <w:rPr>
          <w:rFonts w:ascii="Times New Roman" w:hAnsi="Times New Roman"/>
          <w:lang w:val="en-GB"/>
        </w:rPr>
        <w:t>Contrasting patterns emerge when comparing microhabitats</w:t>
      </w:r>
      <w:r>
        <w:rPr>
          <w:rFonts w:ascii="Times New Roman" w:hAnsi="Times New Roman"/>
          <w:lang w:val="en-GB"/>
        </w:rPr>
        <w:t xml:space="preserve"> species preferences</w:t>
      </w:r>
      <w:r w:rsidRPr="0087396D">
        <w:rPr>
          <w:rFonts w:ascii="Times New Roman" w:hAnsi="Times New Roman"/>
          <w:lang w:val="en-GB"/>
        </w:rPr>
        <w:t xml:space="preserve">: seeds from </w:t>
      </w:r>
      <w:r>
        <w:rPr>
          <w:rFonts w:ascii="Times New Roman" w:hAnsi="Times New Roman"/>
          <w:lang w:val="en-GB"/>
        </w:rPr>
        <w:t xml:space="preserve">species preferring </w:t>
      </w:r>
      <w:r w:rsidRPr="0087396D">
        <w:rPr>
          <w:rFonts w:ascii="Times New Roman" w:hAnsi="Times New Roman"/>
          <w:lang w:val="en-GB"/>
        </w:rPr>
        <w:t xml:space="preserve">snowbeds </w:t>
      </w:r>
      <w:r>
        <w:rPr>
          <w:rFonts w:ascii="Times New Roman" w:hAnsi="Times New Roman"/>
          <w:lang w:val="en-GB"/>
        </w:rPr>
        <w:t xml:space="preserve">areas </w:t>
      </w:r>
      <w:r w:rsidRPr="0087396D">
        <w:rPr>
          <w:rFonts w:ascii="Times New Roman" w:hAnsi="Times New Roman"/>
          <w:lang w:val="en-GB"/>
        </w:rPr>
        <w:t xml:space="preserve">lost viability at a faster rate through the ageing protocol than the </w:t>
      </w:r>
      <w:r>
        <w:rPr>
          <w:rFonts w:ascii="Times New Roman" w:hAnsi="Times New Roman"/>
          <w:lang w:val="en-GB"/>
        </w:rPr>
        <w:t>species with fellfield preference or neutral</w:t>
      </w:r>
      <w:r w:rsidRPr="0087396D">
        <w:rPr>
          <w:rFonts w:ascii="Times New Roman" w:hAnsi="Times New Roman"/>
          <w:lang w:val="en-GB"/>
        </w:rPr>
        <w:t xml:space="preserve"> (p=0,02; Fig. 9;).</w:t>
      </w:r>
    </w:p>
    <w:p w14:paraId="1D53EFAD" w14:textId="77777777" w:rsidR="00CF08B0" w:rsidRPr="0087396D" w:rsidRDefault="00CF08B0" w:rsidP="00CF08B0">
      <w:pPr>
        <w:spacing w:line="360" w:lineRule="auto"/>
        <w:jc w:val="both"/>
        <w:rPr>
          <w:rFonts w:ascii="Times New Roman" w:hAnsi="Times New Roman"/>
          <w:lang w:val="en-GB"/>
        </w:rPr>
      </w:pPr>
    </w:p>
    <w:p w14:paraId="381E89E1" w14:textId="77777777" w:rsidR="00CF08B0" w:rsidRPr="0087396D" w:rsidRDefault="00CF08B0" w:rsidP="00CF08B0">
      <w:pPr>
        <w:spacing w:line="360" w:lineRule="auto"/>
        <w:jc w:val="both"/>
        <w:rPr>
          <w:rFonts w:ascii="Times New Roman" w:hAnsi="Times New Roman"/>
          <w:lang w:val="en-GB"/>
        </w:rPr>
      </w:pPr>
      <w:r>
        <w:rPr>
          <w:rFonts w:ascii="Times New Roman" w:hAnsi="Times New Roman"/>
          <w:noProof/>
          <w:lang w:eastAsia="ca-ES"/>
        </w:rPr>
        <w:drawing>
          <wp:inline distT="0" distB="0" distL="0" distR="0" wp14:anchorId="34235539" wp14:editId="4A89398F">
            <wp:extent cx="5162550" cy="2828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828925"/>
                    </a:xfrm>
                    <a:prstGeom prst="rect">
                      <a:avLst/>
                    </a:prstGeom>
                    <a:noFill/>
                    <a:ln>
                      <a:noFill/>
                    </a:ln>
                  </pic:spPr>
                </pic:pic>
              </a:graphicData>
            </a:graphic>
          </wp:inline>
        </w:drawing>
      </w:r>
    </w:p>
    <w:p w14:paraId="069C41E7" w14:textId="77777777" w:rsidR="00CF08B0" w:rsidRPr="00C558EF" w:rsidRDefault="00CF08B0" w:rsidP="00CF08B0">
      <w:pPr>
        <w:pStyle w:val="Descripcin"/>
        <w:keepNext/>
        <w:jc w:val="both"/>
        <w:rPr>
          <w:rFonts w:ascii="Times New Roman" w:hAnsi="Times New Roman"/>
          <w:color w:val="000000"/>
          <w:sz w:val="20"/>
          <w:szCs w:val="20"/>
          <w:lang w:val="en-GB"/>
        </w:rPr>
      </w:pPr>
      <w:r w:rsidRPr="00C558EF">
        <w:rPr>
          <w:rFonts w:ascii="Times New Roman" w:hAnsi="Times New Roman"/>
          <w:color w:val="000000"/>
          <w:sz w:val="20"/>
          <w:szCs w:val="20"/>
          <w:lang w:val="en-GB"/>
        </w:rPr>
        <w:t>Fig. 9: Germination success declines for all species however for the ones with snowbed microhabitat prefence decreases significantly faster than in the other microhabitats. Points represent raw data, lines average values and error bar the 95% confidence interval; red for fellfield preference, blue for snowbed preference, green for neutral.</w:t>
      </w:r>
    </w:p>
    <w:p w14:paraId="3398E122" w14:textId="77777777" w:rsidR="00CF08B0" w:rsidRPr="0087396D" w:rsidRDefault="00CF08B0" w:rsidP="00CF08B0">
      <w:pPr>
        <w:spacing w:line="360" w:lineRule="auto"/>
        <w:jc w:val="center"/>
        <w:rPr>
          <w:rFonts w:ascii="Times New Roman" w:hAnsi="Times New Roman"/>
          <w:lang w:val="en-GB"/>
        </w:rPr>
      </w:pPr>
    </w:p>
    <w:p w14:paraId="0B01A142" w14:textId="77777777" w:rsidR="00CF08B0" w:rsidRDefault="00CF08B0" w:rsidP="00CF08B0">
      <w:pPr>
        <w:spacing w:line="360" w:lineRule="auto"/>
        <w:jc w:val="both"/>
        <w:rPr>
          <w:rFonts w:ascii="Times New Roman" w:hAnsi="Times New Roman"/>
          <w:lang w:val="en-GB"/>
        </w:rPr>
      </w:pPr>
      <w:r w:rsidRPr="0087396D">
        <w:rPr>
          <w:rFonts w:ascii="Times New Roman" w:hAnsi="Times New Roman"/>
          <w:lang w:val="en-GB"/>
        </w:rPr>
        <w:t xml:space="preserve">Differences </w:t>
      </w:r>
      <w:r>
        <w:rPr>
          <w:rFonts w:ascii="Times New Roman" w:hAnsi="Times New Roman"/>
          <w:lang w:val="en-GB"/>
        </w:rPr>
        <w:t>become more significant</w:t>
      </w:r>
      <w:r w:rsidRPr="0087396D">
        <w:rPr>
          <w:rFonts w:ascii="Times New Roman" w:hAnsi="Times New Roman"/>
          <w:lang w:val="en-GB"/>
        </w:rPr>
        <w:t xml:space="preserve"> (p&lt;0,001) </w:t>
      </w:r>
      <w:r>
        <w:rPr>
          <w:rFonts w:ascii="Times New Roman" w:hAnsi="Times New Roman"/>
          <w:lang w:val="en-GB"/>
        </w:rPr>
        <w:t xml:space="preserve">when </w:t>
      </w:r>
      <w:r w:rsidRPr="0087396D">
        <w:rPr>
          <w:rFonts w:ascii="Times New Roman" w:hAnsi="Times New Roman"/>
          <w:lang w:val="en-GB"/>
        </w:rPr>
        <w:t>considering</w:t>
      </w:r>
      <w:r>
        <w:rPr>
          <w:rFonts w:ascii="Times New Roman" w:hAnsi="Times New Roman"/>
          <w:lang w:val="en-GB"/>
        </w:rPr>
        <w:t xml:space="preserve"> both variables: </w:t>
      </w:r>
      <w:r w:rsidRPr="0087396D">
        <w:rPr>
          <w:rFonts w:ascii="Times New Roman" w:hAnsi="Times New Roman"/>
          <w:lang w:val="en-GB"/>
        </w:rPr>
        <w:t>species distribution (Habitat)</w:t>
      </w:r>
      <w:r>
        <w:rPr>
          <w:rFonts w:ascii="Times New Roman" w:hAnsi="Times New Roman"/>
          <w:lang w:val="en-GB"/>
        </w:rPr>
        <w:t xml:space="preserve"> and microhabitat preference</w:t>
      </w:r>
      <w:r w:rsidRPr="0087396D">
        <w:rPr>
          <w:rFonts w:ascii="Times New Roman" w:hAnsi="Times New Roman"/>
          <w:lang w:val="en-GB"/>
        </w:rPr>
        <w:t xml:space="preserve">: alpine species </w:t>
      </w:r>
      <w:r>
        <w:rPr>
          <w:rFonts w:ascii="Times New Roman" w:hAnsi="Times New Roman"/>
          <w:lang w:val="en-GB"/>
        </w:rPr>
        <w:t xml:space="preserve">with preference for snowbeds areas </w:t>
      </w:r>
      <w:r w:rsidRPr="0087396D">
        <w:rPr>
          <w:rFonts w:ascii="Times New Roman" w:hAnsi="Times New Roman"/>
          <w:lang w:val="en-GB"/>
        </w:rPr>
        <w:t>were significantly more responsive to artificial ageing (Fig. 10).</w:t>
      </w:r>
      <w:r>
        <w:rPr>
          <w:rFonts w:ascii="Times New Roman" w:hAnsi="Times New Roman"/>
          <w:lang w:val="en-GB"/>
        </w:rPr>
        <w:t xml:space="preserve"> Another pattern we identified is that generalist species with no microhabitat preference (neutral) have a higher germination success through the whole ageing process.</w:t>
      </w:r>
    </w:p>
    <w:p w14:paraId="58941487" w14:textId="77777777" w:rsidR="00CF08B0" w:rsidRPr="0087396D" w:rsidRDefault="00CF08B0" w:rsidP="00CF08B0">
      <w:pPr>
        <w:spacing w:line="360" w:lineRule="auto"/>
        <w:jc w:val="both"/>
        <w:rPr>
          <w:rFonts w:ascii="Times New Roman" w:hAnsi="Times New Roman"/>
          <w:lang w:val="en-GB"/>
        </w:rPr>
      </w:pPr>
      <w:r>
        <w:rPr>
          <w:rFonts w:ascii="Times New Roman" w:hAnsi="Times New Roman"/>
          <w:lang w:val="en-GB"/>
        </w:rPr>
        <w:t xml:space="preserve">The MCMC-GLM with (multinomial3 family) analysis reveals a significant fall in germination success due to the ageing protocol (p&lt;0,0001; Table 3), but also due to the interaction between ageing and snowbed microenvironment (p=0,00556; Table 3). The artificial ageing protocol was effective on all the seeds, but primarily in species with snowbed preference, </w:t>
      </w:r>
      <w:commentRangeStart w:id="10"/>
      <w:r>
        <w:rPr>
          <w:rFonts w:ascii="Times New Roman" w:hAnsi="Times New Roman"/>
          <w:lang w:val="en-GB"/>
        </w:rPr>
        <w:t>showing that the lower viability is related to a the different response to ageing</w:t>
      </w:r>
      <w:commentRangeEnd w:id="10"/>
      <w:r>
        <w:rPr>
          <w:rStyle w:val="Refdecomentario"/>
          <w:rFonts w:ascii="Calibri" w:eastAsia="Calibri" w:hAnsi="Calibri"/>
        </w:rPr>
        <w:commentReference w:id="10"/>
      </w:r>
      <w:r>
        <w:rPr>
          <w:rFonts w:ascii="Times New Roman" w:hAnsi="Times New Roman"/>
          <w:lang w:val="en-GB"/>
        </w:rPr>
        <w:t>. With this same model we were able to consider the phylogeny tree and bedrock variable. We found that the results are phylogenetically constrained (lambda=0,63), but bedrock didn’t impact the observed patterns.</w:t>
      </w:r>
    </w:p>
    <w:p w14:paraId="43E457AF" w14:textId="77777777" w:rsidR="00CF08B0" w:rsidRDefault="00CF08B0" w:rsidP="00CF08B0">
      <w:pPr>
        <w:spacing w:line="360" w:lineRule="auto"/>
        <w:jc w:val="both"/>
        <w:rPr>
          <w:rFonts w:ascii="Times New Roman" w:hAnsi="Times New Roman"/>
          <w:lang w:val="en-GB"/>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4110"/>
      </w:tblGrid>
      <w:tr w:rsidR="00CF08B0" w:rsidRPr="0087396D" w14:paraId="349484C5" w14:textId="77777777" w:rsidTr="0077479B">
        <w:trPr>
          <w:trHeight w:val="300"/>
        </w:trPr>
        <w:tc>
          <w:tcPr>
            <w:tcW w:w="4957" w:type="dxa"/>
            <w:shd w:val="clear" w:color="auto" w:fill="auto"/>
            <w:noWrap/>
            <w:hideMark/>
          </w:tcPr>
          <w:p w14:paraId="2A04A9D8" w14:textId="77777777" w:rsidR="00CF08B0" w:rsidRPr="008E5F6D" w:rsidRDefault="00CF08B0" w:rsidP="0077479B">
            <w:pPr>
              <w:spacing w:line="360" w:lineRule="auto"/>
              <w:jc w:val="both"/>
              <w:rPr>
                <w:rFonts w:ascii="Times New Roman" w:hAnsi="Times New Roman"/>
                <w:b/>
                <w:bCs/>
                <w:i/>
                <w:iCs/>
              </w:rPr>
            </w:pPr>
            <w:r w:rsidRPr="008E5F6D">
              <w:rPr>
                <w:rFonts w:ascii="Times New Roman" w:hAnsi="Times New Roman"/>
                <w:b/>
                <w:bCs/>
                <w:i/>
                <w:iCs/>
              </w:rPr>
              <w:t>scale(ageing)*micro + scale(ageing)*habitat</w:t>
            </w:r>
          </w:p>
        </w:tc>
        <w:tc>
          <w:tcPr>
            <w:tcW w:w="4110" w:type="dxa"/>
            <w:shd w:val="clear" w:color="auto" w:fill="auto"/>
            <w:noWrap/>
            <w:hideMark/>
          </w:tcPr>
          <w:p w14:paraId="0FF49212"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 </w:t>
            </w:r>
          </w:p>
        </w:tc>
      </w:tr>
      <w:tr w:rsidR="00CF08B0" w:rsidRPr="0087396D" w14:paraId="697553D8" w14:textId="77777777" w:rsidTr="0077479B">
        <w:trPr>
          <w:trHeight w:val="300"/>
        </w:trPr>
        <w:tc>
          <w:tcPr>
            <w:tcW w:w="4957" w:type="dxa"/>
            <w:shd w:val="clear" w:color="auto" w:fill="auto"/>
            <w:noWrap/>
            <w:hideMark/>
          </w:tcPr>
          <w:p w14:paraId="40B6574D"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Variables</w:t>
            </w:r>
          </w:p>
        </w:tc>
        <w:tc>
          <w:tcPr>
            <w:tcW w:w="4110" w:type="dxa"/>
            <w:shd w:val="clear" w:color="auto" w:fill="auto"/>
            <w:noWrap/>
            <w:hideMark/>
          </w:tcPr>
          <w:p w14:paraId="2E4007BB"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p-value</w:t>
            </w:r>
          </w:p>
        </w:tc>
      </w:tr>
      <w:tr w:rsidR="00CF08B0" w:rsidRPr="0087396D" w14:paraId="78DD236B" w14:textId="77777777" w:rsidTr="0077479B">
        <w:trPr>
          <w:trHeight w:val="300"/>
        </w:trPr>
        <w:tc>
          <w:tcPr>
            <w:tcW w:w="4957" w:type="dxa"/>
            <w:shd w:val="clear" w:color="auto" w:fill="auto"/>
            <w:noWrap/>
            <w:hideMark/>
          </w:tcPr>
          <w:p w14:paraId="551E672D"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lastRenderedPageBreak/>
              <w:t>intercept</w:t>
            </w:r>
          </w:p>
        </w:tc>
        <w:tc>
          <w:tcPr>
            <w:tcW w:w="4110" w:type="dxa"/>
            <w:shd w:val="clear" w:color="auto" w:fill="auto"/>
            <w:noWrap/>
            <w:hideMark/>
          </w:tcPr>
          <w:p w14:paraId="0A68FDCC"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0,43911</w:t>
            </w:r>
          </w:p>
        </w:tc>
      </w:tr>
      <w:tr w:rsidR="00CF08B0" w:rsidRPr="0087396D" w14:paraId="011E8631" w14:textId="77777777" w:rsidTr="0077479B">
        <w:trPr>
          <w:trHeight w:val="300"/>
        </w:trPr>
        <w:tc>
          <w:tcPr>
            <w:tcW w:w="4957" w:type="dxa"/>
            <w:shd w:val="clear" w:color="auto" w:fill="auto"/>
            <w:noWrap/>
            <w:hideMark/>
          </w:tcPr>
          <w:p w14:paraId="56A4B56F"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scale(ageing)</w:t>
            </w:r>
          </w:p>
        </w:tc>
        <w:tc>
          <w:tcPr>
            <w:tcW w:w="4110" w:type="dxa"/>
            <w:shd w:val="clear" w:color="auto" w:fill="E2EFD9"/>
            <w:noWrap/>
            <w:hideMark/>
          </w:tcPr>
          <w:p w14:paraId="07D13D04"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&lt;1e-04</w:t>
            </w:r>
          </w:p>
        </w:tc>
      </w:tr>
      <w:tr w:rsidR="00CF08B0" w:rsidRPr="0087396D" w14:paraId="4EC180C0" w14:textId="77777777" w:rsidTr="0077479B">
        <w:trPr>
          <w:trHeight w:val="300"/>
        </w:trPr>
        <w:tc>
          <w:tcPr>
            <w:tcW w:w="4957" w:type="dxa"/>
            <w:shd w:val="clear" w:color="auto" w:fill="auto"/>
            <w:noWrap/>
            <w:hideMark/>
          </w:tcPr>
          <w:p w14:paraId="0B0EC113"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microsnowbed</w:t>
            </w:r>
          </w:p>
        </w:tc>
        <w:tc>
          <w:tcPr>
            <w:tcW w:w="4110" w:type="dxa"/>
            <w:shd w:val="clear" w:color="auto" w:fill="auto"/>
            <w:noWrap/>
            <w:hideMark/>
          </w:tcPr>
          <w:p w14:paraId="50119D04"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0,05667</w:t>
            </w:r>
          </w:p>
        </w:tc>
      </w:tr>
      <w:tr w:rsidR="00CF08B0" w:rsidRPr="0087396D" w14:paraId="3A401A27" w14:textId="77777777" w:rsidTr="0077479B">
        <w:trPr>
          <w:trHeight w:val="300"/>
        </w:trPr>
        <w:tc>
          <w:tcPr>
            <w:tcW w:w="4957" w:type="dxa"/>
            <w:shd w:val="clear" w:color="auto" w:fill="auto"/>
            <w:noWrap/>
            <w:hideMark/>
          </w:tcPr>
          <w:p w14:paraId="70752342"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microfellfield</w:t>
            </w:r>
          </w:p>
        </w:tc>
        <w:tc>
          <w:tcPr>
            <w:tcW w:w="4110" w:type="dxa"/>
            <w:shd w:val="clear" w:color="auto" w:fill="auto"/>
            <w:noWrap/>
            <w:hideMark/>
          </w:tcPr>
          <w:p w14:paraId="58D68F30"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0,52156</w:t>
            </w:r>
          </w:p>
        </w:tc>
      </w:tr>
      <w:tr w:rsidR="00CF08B0" w:rsidRPr="0087396D" w14:paraId="2B7E366B" w14:textId="77777777" w:rsidTr="0077479B">
        <w:trPr>
          <w:trHeight w:val="300"/>
        </w:trPr>
        <w:tc>
          <w:tcPr>
            <w:tcW w:w="4957" w:type="dxa"/>
            <w:shd w:val="clear" w:color="auto" w:fill="auto"/>
            <w:noWrap/>
            <w:hideMark/>
          </w:tcPr>
          <w:p w14:paraId="48380B5B"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habitat generalist</w:t>
            </w:r>
          </w:p>
        </w:tc>
        <w:tc>
          <w:tcPr>
            <w:tcW w:w="4110" w:type="dxa"/>
            <w:shd w:val="clear" w:color="auto" w:fill="auto"/>
            <w:noWrap/>
            <w:hideMark/>
          </w:tcPr>
          <w:p w14:paraId="29187CF3"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0,79378</w:t>
            </w:r>
          </w:p>
        </w:tc>
      </w:tr>
      <w:tr w:rsidR="00CF08B0" w:rsidRPr="0087396D" w14:paraId="63B6C6A3" w14:textId="77777777" w:rsidTr="0077479B">
        <w:trPr>
          <w:trHeight w:val="300"/>
        </w:trPr>
        <w:tc>
          <w:tcPr>
            <w:tcW w:w="4957" w:type="dxa"/>
            <w:shd w:val="clear" w:color="auto" w:fill="auto"/>
            <w:noWrap/>
            <w:hideMark/>
          </w:tcPr>
          <w:p w14:paraId="23FA6CEE"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scale(ageing):microsnowbed</w:t>
            </w:r>
          </w:p>
        </w:tc>
        <w:tc>
          <w:tcPr>
            <w:tcW w:w="4110" w:type="dxa"/>
            <w:shd w:val="clear" w:color="auto" w:fill="E2EFD9"/>
            <w:noWrap/>
            <w:hideMark/>
          </w:tcPr>
          <w:p w14:paraId="5931B9EE"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0,00556</w:t>
            </w:r>
          </w:p>
        </w:tc>
      </w:tr>
      <w:tr w:rsidR="00CF08B0" w:rsidRPr="0087396D" w14:paraId="2B09C646" w14:textId="77777777" w:rsidTr="0077479B">
        <w:trPr>
          <w:trHeight w:val="300"/>
        </w:trPr>
        <w:tc>
          <w:tcPr>
            <w:tcW w:w="4957" w:type="dxa"/>
            <w:shd w:val="clear" w:color="auto" w:fill="auto"/>
            <w:noWrap/>
            <w:hideMark/>
          </w:tcPr>
          <w:p w14:paraId="75EF399F"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scale(ageing):microfellfield</w:t>
            </w:r>
          </w:p>
        </w:tc>
        <w:tc>
          <w:tcPr>
            <w:tcW w:w="4110" w:type="dxa"/>
            <w:shd w:val="clear" w:color="auto" w:fill="auto"/>
            <w:noWrap/>
            <w:hideMark/>
          </w:tcPr>
          <w:p w14:paraId="758283DE"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0,13711</w:t>
            </w:r>
          </w:p>
        </w:tc>
      </w:tr>
      <w:tr w:rsidR="00CF08B0" w:rsidRPr="0087396D" w14:paraId="063B065B" w14:textId="77777777" w:rsidTr="0077479B">
        <w:trPr>
          <w:trHeight w:val="315"/>
        </w:trPr>
        <w:tc>
          <w:tcPr>
            <w:tcW w:w="4957" w:type="dxa"/>
            <w:shd w:val="clear" w:color="auto" w:fill="auto"/>
            <w:noWrap/>
            <w:hideMark/>
          </w:tcPr>
          <w:p w14:paraId="31083130" w14:textId="77777777" w:rsidR="00CF08B0" w:rsidRPr="008E5F6D" w:rsidRDefault="00CF08B0" w:rsidP="0077479B">
            <w:pPr>
              <w:spacing w:line="360" w:lineRule="auto"/>
              <w:jc w:val="both"/>
              <w:rPr>
                <w:rFonts w:ascii="Times New Roman" w:hAnsi="Times New Roman"/>
              </w:rPr>
            </w:pPr>
            <w:r w:rsidRPr="008E5F6D">
              <w:rPr>
                <w:rFonts w:ascii="Times New Roman" w:hAnsi="Times New Roman"/>
              </w:rPr>
              <w:t>scale(ageing):habitatgeneralist</w:t>
            </w:r>
          </w:p>
        </w:tc>
        <w:tc>
          <w:tcPr>
            <w:tcW w:w="4110" w:type="dxa"/>
            <w:shd w:val="clear" w:color="auto" w:fill="auto"/>
            <w:noWrap/>
            <w:hideMark/>
          </w:tcPr>
          <w:p w14:paraId="2253DC66" w14:textId="77777777" w:rsidR="00CF08B0" w:rsidRPr="008E5F6D" w:rsidRDefault="00CF08B0" w:rsidP="0077479B">
            <w:pPr>
              <w:keepNext/>
              <w:spacing w:line="360" w:lineRule="auto"/>
              <w:jc w:val="both"/>
              <w:rPr>
                <w:rFonts w:ascii="Times New Roman" w:hAnsi="Times New Roman"/>
              </w:rPr>
            </w:pPr>
            <w:r w:rsidRPr="008E5F6D">
              <w:rPr>
                <w:rFonts w:ascii="Times New Roman" w:hAnsi="Times New Roman"/>
              </w:rPr>
              <w:t>0,07067</w:t>
            </w:r>
          </w:p>
        </w:tc>
      </w:tr>
    </w:tbl>
    <w:p w14:paraId="216F879C" w14:textId="77777777" w:rsidR="00CF08B0" w:rsidRPr="00C558EF" w:rsidRDefault="00CF08B0" w:rsidP="00CF08B0">
      <w:pPr>
        <w:pStyle w:val="Descripcin"/>
        <w:rPr>
          <w:rFonts w:ascii="Times New Roman" w:hAnsi="Times New Roman"/>
          <w:color w:val="000000"/>
          <w:sz w:val="20"/>
          <w:szCs w:val="20"/>
          <w:lang w:val="en-GB"/>
        </w:rPr>
      </w:pPr>
      <w:r w:rsidRPr="00C558EF">
        <w:rPr>
          <w:rFonts w:ascii="Times New Roman" w:hAnsi="Times New Roman"/>
          <w:color w:val="000000"/>
          <w:sz w:val="20"/>
          <w:szCs w:val="20"/>
          <w:lang w:val="en-GB"/>
        </w:rPr>
        <w:t>Table 3: MCMC-GLM with ge</w:t>
      </w:r>
      <w:r>
        <w:rPr>
          <w:rFonts w:ascii="Times New Roman" w:hAnsi="Times New Roman"/>
          <w:color w:val="000000"/>
          <w:sz w:val="20"/>
          <w:szCs w:val="20"/>
          <w:lang w:val="en-GB"/>
        </w:rPr>
        <w:t>r</w:t>
      </w:r>
      <w:r w:rsidRPr="00C558EF">
        <w:rPr>
          <w:rFonts w:ascii="Times New Roman" w:hAnsi="Times New Roman"/>
          <w:color w:val="000000"/>
          <w:sz w:val="20"/>
          <w:szCs w:val="20"/>
          <w:lang w:val="en-GB"/>
        </w:rPr>
        <w:t>mination raw data (multinomial2); the effect on snowbed species is almost significa</w:t>
      </w:r>
      <w:r>
        <w:rPr>
          <w:rFonts w:ascii="Times New Roman" w:hAnsi="Times New Roman"/>
          <w:color w:val="000000"/>
          <w:sz w:val="20"/>
          <w:szCs w:val="20"/>
          <w:lang w:val="en-GB"/>
        </w:rPr>
        <w:t>nt</w:t>
      </w:r>
      <w:r w:rsidRPr="00C558EF">
        <w:rPr>
          <w:rFonts w:ascii="Times New Roman" w:hAnsi="Times New Roman"/>
          <w:color w:val="000000"/>
          <w:sz w:val="20"/>
          <w:szCs w:val="20"/>
          <w:lang w:val="en-GB"/>
        </w:rPr>
        <w:t>.</w:t>
      </w:r>
    </w:p>
    <w:p w14:paraId="4EB22823" w14:textId="77777777" w:rsidR="00CF08B0" w:rsidRPr="00717624" w:rsidRDefault="00CF08B0" w:rsidP="00CF08B0">
      <w:pPr>
        <w:rPr>
          <w:lang w:val="en-GB"/>
        </w:rPr>
      </w:pPr>
    </w:p>
    <w:p w14:paraId="23BAB6F6" w14:textId="77777777" w:rsidR="00CF08B0" w:rsidRPr="0087396D" w:rsidRDefault="00CF08B0" w:rsidP="00CF08B0">
      <w:pPr>
        <w:spacing w:line="360" w:lineRule="auto"/>
        <w:jc w:val="both"/>
        <w:rPr>
          <w:rFonts w:ascii="Times New Roman" w:hAnsi="Times New Roman"/>
          <w:lang w:val="en-GB"/>
        </w:rPr>
      </w:pPr>
      <w:r>
        <w:rPr>
          <w:rFonts w:ascii="Times New Roman" w:hAnsi="Times New Roman"/>
          <w:noProof/>
          <w:lang w:eastAsia="ca-ES"/>
        </w:rPr>
        <w:drawing>
          <wp:inline distT="0" distB="0" distL="0" distR="0" wp14:anchorId="0D71F23A" wp14:editId="6766554A">
            <wp:extent cx="5486400" cy="3476625"/>
            <wp:effectExtent l="0" t="0" r="0" b="9525"/>
            <wp:docPr id="1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76625"/>
                    </a:xfrm>
                    <a:prstGeom prst="rect">
                      <a:avLst/>
                    </a:prstGeom>
                    <a:noFill/>
                    <a:ln>
                      <a:noFill/>
                    </a:ln>
                  </pic:spPr>
                </pic:pic>
              </a:graphicData>
            </a:graphic>
          </wp:inline>
        </w:drawing>
      </w:r>
    </w:p>
    <w:p w14:paraId="4D09B297" w14:textId="77777777" w:rsidR="00CF08B0" w:rsidRPr="00C558EF" w:rsidRDefault="00CF08B0" w:rsidP="00CF08B0">
      <w:pPr>
        <w:pStyle w:val="Descripcin"/>
        <w:keepNext/>
        <w:jc w:val="both"/>
        <w:rPr>
          <w:rFonts w:ascii="Times New Roman" w:hAnsi="Times New Roman"/>
          <w:color w:val="000000"/>
          <w:sz w:val="20"/>
          <w:szCs w:val="20"/>
          <w:lang w:val="en-GB"/>
        </w:rPr>
      </w:pPr>
      <w:r w:rsidRPr="00C558EF">
        <w:rPr>
          <w:rFonts w:ascii="Times New Roman" w:hAnsi="Times New Roman"/>
          <w:color w:val="000000"/>
          <w:sz w:val="20"/>
          <w:szCs w:val="20"/>
          <w:lang w:val="en-GB"/>
        </w:rPr>
        <w:t>Fig. 10:</w:t>
      </w:r>
      <w:r>
        <w:rPr>
          <w:rFonts w:ascii="Times New Roman" w:hAnsi="Times New Roman"/>
          <w:color w:val="000000"/>
          <w:sz w:val="20"/>
          <w:szCs w:val="20"/>
          <w:lang w:val="en-GB"/>
        </w:rPr>
        <w:t xml:space="preserve"> </w:t>
      </w:r>
      <w:r w:rsidRPr="00C558EF">
        <w:rPr>
          <w:rFonts w:ascii="Times New Roman" w:hAnsi="Times New Roman"/>
          <w:color w:val="000000"/>
          <w:sz w:val="20"/>
          <w:szCs w:val="20"/>
          <w:lang w:val="en-GB"/>
        </w:rPr>
        <w:t>Germination success curves along ageing days in different panels according to their habitat distribution (strict alpine and generalist); red for fellfield preference, blue for snowbed preference, green for neutral.</w:t>
      </w:r>
    </w:p>
    <w:p w14:paraId="08151FAE" w14:textId="77777777" w:rsidR="00CF08B0" w:rsidRPr="001C69FB" w:rsidRDefault="00CF08B0" w:rsidP="00CF08B0">
      <w:pPr>
        <w:spacing w:line="360" w:lineRule="auto"/>
        <w:jc w:val="both"/>
        <w:rPr>
          <w:rFonts w:ascii="Times New Roman" w:hAnsi="Times New Roman"/>
          <w:lang w:val="en-GB"/>
        </w:rPr>
      </w:pPr>
    </w:p>
    <w:p w14:paraId="2D6CFB01" w14:textId="77777777" w:rsidR="00CF08B0" w:rsidRDefault="00CF08B0" w:rsidP="00CF08B0">
      <w:pPr>
        <w:spacing w:line="360" w:lineRule="auto"/>
        <w:jc w:val="both"/>
        <w:rPr>
          <w:rFonts w:ascii="Times New Roman" w:hAnsi="Times New Roman"/>
          <w:lang w:val="en-GB"/>
        </w:rPr>
      </w:pPr>
      <w:r w:rsidRPr="0087396D">
        <w:rPr>
          <w:rFonts w:ascii="Times New Roman" w:hAnsi="Times New Roman"/>
          <w:lang w:val="en-GB"/>
        </w:rPr>
        <w:t>To notice that the initial germination success doesn’t depend on microhabitat preference, yet the response to ageing is affected.</w:t>
      </w:r>
    </w:p>
    <w:p w14:paraId="48E60FF5" w14:textId="77777777" w:rsidR="00CF08B0" w:rsidRPr="00457AD3" w:rsidRDefault="00CF08B0" w:rsidP="00CF08B0">
      <w:pPr>
        <w:spacing w:line="360" w:lineRule="auto"/>
        <w:jc w:val="both"/>
        <w:rPr>
          <w:rFonts w:ascii="Times New Roman" w:hAnsi="Times New Roman"/>
          <w:lang w:val="en-GB"/>
        </w:rPr>
      </w:pPr>
      <w:r>
        <w:rPr>
          <w:rFonts w:ascii="Times New Roman" w:hAnsi="Times New Roman"/>
          <w:lang w:val="en-GB"/>
        </w:rPr>
        <w:t xml:space="preserve">Germination indices were calculated using GerminaR package in R </w:t>
      </w:r>
      <w:r w:rsidRPr="00457AD3">
        <w:rPr>
          <w:rFonts w:ascii="Times New Roman" w:hAnsi="Times New Roman"/>
          <w:lang w:val="en-GB"/>
        </w:rPr>
        <w:t>(Lozano‐Isla et al., 2019)</w:t>
      </w:r>
      <w:r>
        <w:rPr>
          <w:rFonts w:ascii="Times New Roman" w:hAnsi="Times New Roman"/>
          <w:lang w:val="en-GB"/>
        </w:rPr>
        <w:t xml:space="preserve">. </w:t>
      </w:r>
    </w:p>
    <w:p w14:paraId="3CFF057E" w14:textId="77777777" w:rsidR="00CF08B0" w:rsidRPr="0087396D" w:rsidRDefault="00CF08B0" w:rsidP="00CF08B0">
      <w:pPr>
        <w:spacing w:line="360" w:lineRule="auto"/>
        <w:jc w:val="both"/>
        <w:rPr>
          <w:rFonts w:ascii="Times New Roman" w:hAnsi="Times New Roman"/>
          <w:lang w:val="en-GB"/>
        </w:rPr>
      </w:pPr>
      <w:r w:rsidRPr="0087396D">
        <w:rPr>
          <w:rFonts w:ascii="Times New Roman" w:hAnsi="Times New Roman"/>
          <w:lang w:val="en-GB"/>
        </w:rPr>
        <w:lastRenderedPageBreak/>
        <w:t>GRP index (Germination percentage</w:t>
      </w:r>
      <w:r>
        <w:rPr>
          <w:rFonts w:ascii="Times New Roman" w:hAnsi="Times New Roman"/>
          <w:lang w:val="en-GB"/>
        </w:rPr>
        <w:t>; Fig. 11a</w:t>
      </w:r>
      <w:r w:rsidRPr="0087396D">
        <w:rPr>
          <w:rFonts w:ascii="Times New Roman" w:hAnsi="Times New Roman"/>
          <w:lang w:val="en-GB"/>
        </w:rPr>
        <w:t xml:space="preserve">) was </w:t>
      </w:r>
      <w:r>
        <w:rPr>
          <w:rFonts w:ascii="Times New Roman" w:hAnsi="Times New Roman"/>
          <w:lang w:val="en-GB"/>
        </w:rPr>
        <w:t xml:space="preserve">significantly influenced by artificial ageing </w:t>
      </w:r>
      <w:r w:rsidRPr="0087396D">
        <w:rPr>
          <w:rFonts w:ascii="Times New Roman" w:hAnsi="Times New Roman"/>
          <w:lang w:val="en-GB"/>
        </w:rPr>
        <w:t xml:space="preserve">(p&lt;0,0001; Table 2), but </w:t>
      </w:r>
      <w:r>
        <w:rPr>
          <w:rFonts w:ascii="Times New Roman" w:hAnsi="Times New Roman"/>
          <w:lang w:val="en-GB"/>
        </w:rPr>
        <w:t xml:space="preserve">also species with preference to snowbed microhabitat had significant differential response </w:t>
      </w:r>
      <w:r w:rsidRPr="0087396D">
        <w:rPr>
          <w:rFonts w:ascii="Times New Roman" w:hAnsi="Times New Roman"/>
          <w:lang w:val="en-GB"/>
        </w:rPr>
        <w:t>(p=0,016; Table 2), meaning th</w:t>
      </w:r>
      <w:r>
        <w:rPr>
          <w:rFonts w:ascii="Times New Roman" w:hAnsi="Times New Roman"/>
          <w:lang w:val="en-GB"/>
        </w:rPr>
        <w:t>at</w:t>
      </w:r>
      <w:r w:rsidRPr="0087396D">
        <w:rPr>
          <w:rFonts w:ascii="Times New Roman" w:hAnsi="Times New Roman"/>
          <w:lang w:val="en-GB"/>
        </w:rPr>
        <w:t xml:space="preserve"> species responded differently depending on microenvironment. Mean germination rate and synchronization index were not affected by the microniche, but the mean germination rate decreased in response to the ageing (Fig. 11</w:t>
      </w:r>
      <w:r>
        <w:rPr>
          <w:rFonts w:ascii="Times New Roman" w:hAnsi="Times New Roman"/>
          <w:lang w:val="en-GB"/>
        </w:rPr>
        <w:t>b</w:t>
      </w:r>
      <w:r w:rsidRPr="0087396D">
        <w:rPr>
          <w:rFonts w:ascii="Times New Roman" w:hAnsi="Times New Roman"/>
          <w:lang w:val="en-GB"/>
        </w:rPr>
        <w:t>).</w:t>
      </w:r>
    </w:p>
    <w:p w14:paraId="1E82844C" w14:textId="77777777" w:rsidR="00CF08B0" w:rsidRPr="0087396D" w:rsidRDefault="00CF08B0" w:rsidP="00CF08B0">
      <w:pPr>
        <w:spacing w:line="360" w:lineRule="auto"/>
        <w:jc w:val="both"/>
        <w:rPr>
          <w:rFonts w:ascii="Times New Roman" w:hAnsi="Times New Roman"/>
          <w:lang w:val="en-GB"/>
        </w:rPr>
      </w:pPr>
    </w:p>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418"/>
        <w:gridCol w:w="1417"/>
        <w:gridCol w:w="1418"/>
      </w:tblGrid>
      <w:tr w:rsidR="00CF08B0" w:rsidRPr="0087396D" w14:paraId="06DA6BBE" w14:textId="77777777" w:rsidTr="0077479B">
        <w:trPr>
          <w:trHeight w:val="300"/>
        </w:trPr>
        <w:tc>
          <w:tcPr>
            <w:tcW w:w="3397" w:type="dxa"/>
            <w:shd w:val="clear" w:color="auto" w:fill="auto"/>
            <w:noWrap/>
            <w:hideMark/>
          </w:tcPr>
          <w:p w14:paraId="101A2311" w14:textId="77777777" w:rsidR="00CF08B0" w:rsidRPr="008E5F6D" w:rsidRDefault="00CF08B0" w:rsidP="0077479B">
            <w:pPr>
              <w:spacing w:line="360" w:lineRule="auto"/>
              <w:rPr>
                <w:rFonts w:ascii="Times New Roman" w:hAnsi="Times New Roman"/>
              </w:rPr>
            </w:pPr>
            <w:r w:rsidRPr="008E5F6D">
              <w:rPr>
                <w:rFonts w:ascii="Times New Roman" w:hAnsi="Times New Roman"/>
              </w:rPr>
              <w:t>Variables</w:t>
            </w:r>
          </w:p>
        </w:tc>
        <w:tc>
          <w:tcPr>
            <w:tcW w:w="1418" w:type="dxa"/>
            <w:shd w:val="clear" w:color="auto" w:fill="auto"/>
            <w:noWrap/>
            <w:hideMark/>
          </w:tcPr>
          <w:p w14:paraId="55BFF347" w14:textId="77777777" w:rsidR="00CF08B0" w:rsidRPr="008E5F6D" w:rsidRDefault="00CF08B0" w:rsidP="0077479B">
            <w:pPr>
              <w:spacing w:line="360" w:lineRule="auto"/>
              <w:rPr>
                <w:rFonts w:ascii="Times New Roman" w:hAnsi="Times New Roman"/>
              </w:rPr>
            </w:pPr>
            <w:r w:rsidRPr="008E5F6D">
              <w:rPr>
                <w:rFonts w:ascii="Times New Roman" w:hAnsi="Times New Roman"/>
              </w:rPr>
              <w:t>GRP</w:t>
            </w:r>
          </w:p>
        </w:tc>
        <w:tc>
          <w:tcPr>
            <w:tcW w:w="1417" w:type="dxa"/>
            <w:shd w:val="clear" w:color="auto" w:fill="auto"/>
            <w:noWrap/>
            <w:hideMark/>
          </w:tcPr>
          <w:p w14:paraId="3FE4DC29" w14:textId="77777777" w:rsidR="00CF08B0" w:rsidRPr="008E5F6D" w:rsidRDefault="00CF08B0" w:rsidP="0077479B">
            <w:pPr>
              <w:spacing w:line="360" w:lineRule="auto"/>
              <w:rPr>
                <w:rFonts w:ascii="Times New Roman" w:hAnsi="Times New Roman"/>
              </w:rPr>
            </w:pPr>
            <w:r w:rsidRPr="008E5F6D">
              <w:rPr>
                <w:rFonts w:ascii="Times New Roman" w:hAnsi="Times New Roman"/>
              </w:rPr>
              <w:t>MGR</w:t>
            </w:r>
          </w:p>
        </w:tc>
        <w:tc>
          <w:tcPr>
            <w:tcW w:w="1418" w:type="dxa"/>
            <w:shd w:val="clear" w:color="auto" w:fill="auto"/>
            <w:noWrap/>
            <w:hideMark/>
          </w:tcPr>
          <w:p w14:paraId="49DEE3EA" w14:textId="77777777" w:rsidR="00CF08B0" w:rsidRPr="008E5F6D" w:rsidRDefault="00CF08B0" w:rsidP="0077479B">
            <w:pPr>
              <w:spacing w:line="360" w:lineRule="auto"/>
              <w:rPr>
                <w:rFonts w:ascii="Times New Roman" w:hAnsi="Times New Roman"/>
              </w:rPr>
            </w:pPr>
            <w:r w:rsidRPr="008E5F6D">
              <w:rPr>
                <w:rFonts w:ascii="Times New Roman" w:hAnsi="Times New Roman"/>
              </w:rPr>
              <w:t>SYN</w:t>
            </w:r>
          </w:p>
        </w:tc>
      </w:tr>
      <w:tr w:rsidR="00CF08B0" w:rsidRPr="0087396D" w14:paraId="049C668E" w14:textId="77777777" w:rsidTr="0077479B">
        <w:trPr>
          <w:trHeight w:val="300"/>
        </w:trPr>
        <w:tc>
          <w:tcPr>
            <w:tcW w:w="3397" w:type="dxa"/>
            <w:shd w:val="clear" w:color="auto" w:fill="auto"/>
            <w:noWrap/>
            <w:hideMark/>
          </w:tcPr>
          <w:p w14:paraId="04640270" w14:textId="77777777" w:rsidR="00CF08B0" w:rsidRPr="008E5F6D" w:rsidRDefault="00CF08B0" w:rsidP="0077479B">
            <w:pPr>
              <w:spacing w:line="360" w:lineRule="auto"/>
              <w:rPr>
                <w:rFonts w:ascii="Times New Roman" w:hAnsi="Times New Roman"/>
              </w:rPr>
            </w:pPr>
            <w:r w:rsidRPr="008E5F6D">
              <w:rPr>
                <w:rFonts w:ascii="Times New Roman" w:hAnsi="Times New Roman"/>
              </w:rPr>
              <w:t>Intercept</w:t>
            </w:r>
          </w:p>
        </w:tc>
        <w:tc>
          <w:tcPr>
            <w:tcW w:w="1418" w:type="dxa"/>
            <w:shd w:val="clear" w:color="auto" w:fill="auto"/>
            <w:noWrap/>
            <w:hideMark/>
          </w:tcPr>
          <w:p w14:paraId="0BBE2ED3" w14:textId="77777777" w:rsidR="00CF08B0" w:rsidRPr="008E5F6D" w:rsidRDefault="00CF08B0" w:rsidP="0077479B">
            <w:pPr>
              <w:spacing w:line="360" w:lineRule="auto"/>
              <w:rPr>
                <w:rFonts w:ascii="Times New Roman" w:hAnsi="Times New Roman"/>
              </w:rPr>
            </w:pPr>
            <w:r w:rsidRPr="008E5F6D">
              <w:rPr>
                <w:rFonts w:ascii="Times New Roman" w:hAnsi="Times New Roman"/>
              </w:rPr>
              <w:t>p=0,00889</w:t>
            </w:r>
          </w:p>
        </w:tc>
        <w:tc>
          <w:tcPr>
            <w:tcW w:w="1417" w:type="dxa"/>
            <w:shd w:val="clear" w:color="auto" w:fill="auto"/>
            <w:noWrap/>
            <w:hideMark/>
          </w:tcPr>
          <w:p w14:paraId="1A17079B" w14:textId="77777777" w:rsidR="00CF08B0" w:rsidRPr="008E5F6D" w:rsidRDefault="00CF08B0" w:rsidP="0077479B">
            <w:pPr>
              <w:spacing w:line="360" w:lineRule="auto"/>
              <w:rPr>
                <w:rFonts w:ascii="Times New Roman" w:hAnsi="Times New Roman"/>
              </w:rPr>
            </w:pPr>
            <w:r w:rsidRPr="008E5F6D">
              <w:rPr>
                <w:rFonts w:ascii="Times New Roman" w:hAnsi="Times New Roman"/>
              </w:rPr>
              <w:t>p=0,804</w:t>
            </w:r>
          </w:p>
        </w:tc>
        <w:tc>
          <w:tcPr>
            <w:tcW w:w="1418" w:type="dxa"/>
            <w:shd w:val="clear" w:color="auto" w:fill="auto"/>
            <w:noWrap/>
            <w:hideMark/>
          </w:tcPr>
          <w:p w14:paraId="008B8C92" w14:textId="77777777" w:rsidR="00CF08B0" w:rsidRPr="008E5F6D" w:rsidRDefault="00CF08B0" w:rsidP="0077479B">
            <w:pPr>
              <w:spacing w:line="360" w:lineRule="auto"/>
              <w:rPr>
                <w:rFonts w:ascii="Times New Roman" w:hAnsi="Times New Roman"/>
              </w:rPr>
            </w:pPr>
            <w:r w:rsidRPr="008E5F6D">
              <w:rPr>
                <w:rFonts w:ascii="Times New Roman" w:hAnsi="Times New Roman"/>
              </w:rPr>
              <w:t>p=0,427</w:t>
            </w:r>
          </w:p>
        </w:tc>
      </w:tr>
      <w:tr w:rsidR="00CF08B0" w:rsidRPr="0087396D" w14:paraId="59EB9FDA" w14:textId="77777777" w:rsidTr="0077479B">
        <w:trPr>
          <w:trHeight w:val="300"/>
        </w:trPr>
        <w:tc>
          <w:tcPr>
            <w:tcW w:w="3397" w:type="dxa"/>
            <w:shd w:val="clear" w:color="auto" w:fill="auto"/>
            <w:noWrap/>
            <w:hideMark/>
          </w:tcPr>
          <w:p w14:paraId="7F16FAD3" w14:textId="77777777" w:rsidR="00CF08B0" w:rsidRPr="008E5F6D" w:rsidRDefault="00CF08B0" w:rsidP="0077479B">
            <w:pPr>
              <w:spacing w:line="360" w:lineRule="auto"/>
              <w:rPr>
                <w:rFonts w:ascii="Times New Roman" w:hAnsi="Times New Roman"/>
              </w:rPr>
            </w:pPr>
            <w:r w:rsidRPr="008E5F6D">
              <w:rPr>
                <w:rFonts w:ascii="Times New Roman" w:hAnsi="Times New Roman"/>
              </w:rPr>
              <w:t>Scale(Ageing)</w:t>
            </w:r>
          </w:p>
        </w:tc>
        <w:tc>
          <w:tcPr>
            <w:tcW w:w="1418" w:type="dxa"/>
            <w:shd w:val="clear" w:color="auto" w:fill="E2EFD9"/>
            <w:noWrap/>
            <w:hideMark/>
          </w:tcPr>
          <w:p w14:paraId="2FA1608E" w14:textId="77777777" w:rsidR="00CF08B0" w:rsidRPr="008E5F6D" w:rsidRDefault="00CF08B0" w:rsidP="0077479B">
            <w:pPr>
              <w:spacing w:line="360" w:lineRule="auto"/>
              <w:rPr>
                <w:rFonts w:ascii="Times New Roman" w:hAnsi="Times New Roman"/>
              </w:rPr>
            </w:pPr>
            <w:r w:rsidRPr="008E5F6D">
              <w:rPr>
                <w:rFonts w:ascii="Times New Roman" w:hAnsi="Times New Roman"/>
              </w:rPr>
              <w:t>p&lt;1e-04</w:t>
            </w:r>
          </w:p>
        </w:tc>
        <w:tc>
          <w:tcPr>
            <w:tcW w:w="1417" w:type="dxa"/>
            <w:shd w:val="clear" w:color="auto" w:fill="auto"/>
            <w:noWrap/>
            <w:hideMark/>
          </w:tcPr>
          <w:p w14:paraId="5D01F164" w14:textId="77777777" w:rsidR="00CF08B0" w:rsidRPr="008E5F6D" w:rsidRDefault="00CF08B0" w:rsidP="0077479B">
            <w:pPr>
              <w:spacing w:line="360" w:lineRule="auto"/>
              <w:rPr>
                <w:rFonts w:ascii="Times New Roman" w:hAnsi="Times New Roman"/>
              </w:rPr>
            </w:pPr>
            <w:r w:rsidRPr="008E5F6D">
              <w:rPr>
                <w:rFonts w:ascii="Times New Roman" w:hAnsi="Times New Roman"/>
              </w:rPr>
              <w:t>p=0,894</w:t>
            </w:r>
          </w:p>
        </w:tc>
        <w:tc>
          <w:tcPr>
            <w:tcW w:w="1418" w:type="dxa"/>
            <w:shd w:val="clear" w:color="auto" w:fill="auto"/>
            <w:noWrap/>
            <w:hideMark/>
          </w:tcPr>
          <w:p w14:paraId="2E965FF2" w14:textId="77777777" w:rsidR="00CF08B0" w:rsidRPr="008E5F6D" w:rsidRDefault="00CF08B0" w:rsidP="0077479B">
            <w:pPr>
              <w:spacing w:line="360" w:lineRule="auto"/>
              <w:rPr>
                <w:rFonts w:ascii="Times New Roman" w:hAnsi="Times New Roman"/>
              </w:rPr>
            </w:pPr>
            <w:r w:rsidRPr="008E5F6D">
              <w:rPr>
                <w:rFonts w:ascii="Times New Roman" w:hAnsi="Times New Roman"/>
              </w:rPr>
              <w:t>p=0,565</w:t>
            </w:r>
          </w:p>
        </w:tc>
      </w:tr>
      <w:tr w:rsidR="00CF08B0" w:rsidRPr="0087396D" w14:paraId="05F060CF" w14:textId="77777777" w:rsidTr="0077479B">
        <w:trPr>
          <w:trHeight w:val="300"/>
        </w:trPr>
        <w:tc>
          <w:tcPr>
            <w:tcW w:w="3397" w:type="dxa"/>
            <w:shd w:val="clear" w:color="auto" w:fill="auto"/>
            <w:noWrap/>
            <w:hideMark/>
          </w:tcPr>
          <w:p w14:paraId="3F605F56" w14:textId="77777777" w:rsidR="00CF08B0" w:rsidRPr="008E5F6D" w:rsidRDefault="00CF08B0" w:rsidP="0077479B">
            <w:pPr>
              <w:spacing w:line="360" w:lineRule="auto"/>
              <w:rPr>
                <w:rFonts w:ascii="Times New Roman" w:hAnsi="Times New Roman"/>
              </w:rPr>
            </w:pPr>
            <w:r w:rsidRPr="008E5F6D">
              <w:rPr>
                <w:rFonts w:ascii="Times New Roman" w:hAnsi="Times New Roman"/>
              </w:rPr>
              <w:t>Microsnowbed</w:t>
            </w:r>
          </w:p>
        </w:tc>
        <w:tc>
          <w:tcPr>
            <w:tcW w:w="1418" w:type="dxa"/>
            <w:shd w:val="clear" w:color="auto" w:fill="E2EFD9"/>
            <w:noWrap/>
            <w:hideMark/>
          </w:tcPr>
          <w:p w14:paraId="6F364AB8" w14:textId="77777777" w:rsidR="00CF08B0" w:rsidRPr="008E5F6D" w:rsidRDefault="00CF08B0" w:rsidP="0077479B">
            <w:pPr>
              <w:spacing w:line="360" w:lineRule="auto"/>
              <w:rPr>
                <w:rFonts w:ascii="Times New Roman" w:hAnsi="Times New Roman"/>
              </w:rPr>
            </w:pPr>
            <w:r w:rsidRPr="008E5F6D">
              <w:rPr>
                <w:rFonts w:ascii="Times New Roman" w:hAnsi="Times New Roman"/>
              </w:rPr>
              <w:t>p=0,016</w:t>
            </w:r>
          </w:p>
        </w:tc>
        <w:tc>
          <w:tcPr>
            <w:tcW w:w="1417" w:type="dxa"/>
            <w:shd w:val="clear" w:color="auto" w:fill="auto"/>
            <w:noWrap/>
            <w:hideMark/>
          </w:tcPr>
          <w:p w14:paraId="10DD64F1" w14:textId="77777777" w:rsidR="00CF08B0" w:rsidRPr="008E5F6D" w:rsidRDefault="00CF08B0" w:rsidP="0077479B">
            <w:pPr>
              <w:spacing w:line="360" w:lineRule="auto"/>
              <w:rPr>
                <w:rFonts w:ascii="Times New Roman" w:hAnsi="Times New Roman"/>
              </w:rPr>
            </w:pPr>
            <w:r w:rsidRPr="008E5F6D">
              <w:rPr>
                <w:rFonts w:ascii="Times New Roman" w:hAnsi="Times New Roman"/>
              </w:rPr>
              <w:t>p=0,902</w:t>
            </w:r>
          </w:p>
        </w:tc>
        <w:tc>
          <w:tcPr>
            <w:tcW w:w="1418" w:type="dxa"/>
            <w:shd w:val="clear" w:color="auto" w:fill="auto"/>
            <w:noWrap/>
            <w:hideMark/>
          </w:tcPr>
          <w:p w14:paraId="18761AD7" w14:textId="77777777" w:rsidR="00CF08B0" w:rsidRPr="008E5F6D" w:rsidRDefault="00CF08B0" w:rsidP="0077479B">
            <w:pPr>
              <w:spacing w:line="360" w:lineRule="auto"/>
              <w:rPr>
                <w:rFonts w:ascii="Times New Roman" w:hAnsi="Times New Roman"/>
              </w:rPr>
            </w:pPr>
            <w:r w:rsidRPr="008E5F6D">
              <w:rPr>
                <w:rFonts w:ascii="Times New Roman" w:hAnsi="Times New Roman"/>
              </w:rPr>
              <w:t>p=0,892</w:t>
            </w:r>
          </w:p>
        </w:tc>
      </w:tr>
      <w:tr w:rsidR="00CF08B0" w:rsidRPr="0087396D" w14:paraId="7B0F40EB" w14:textId="77777777" w:rsidTr="0077479B">
        <w:trPr>
          <w:trHeight w:val="300"/>
        </w:trPr>
        <w:tc>
          <w:tcPr>
            <w:tcW w:w="3397" w:type="dxa"/>
            <w:shd w:val="clear" w:color="auto" w:fill="auto"/>
            <w:noWrap/>
            <w:hideMark/>
          </w:tcPr>
          <w:p w14:paraId="71BE893D" w14:textId="77777777" w:rsidR="00CF08B0" w:rsidRPr="008E5F6D" w:rsidRDefault="00CF08B0" w:rsidP="0077479B">
            <w:pPr>
              <w:spacing w:line="360" w:lineRule="auto"/>
              <w:rPr>
                <w:rFonts w:ascii="Times New Roman" w:hAnsi="Times New Roman"/>
              </w:rPr>
            </w:pPr>
            <w:r w:rsidRPr="008E5F6D">
              <w:rPr>
                <w:rFonts w:ascii="Times New Roman" w:hAnsi="Times New Roman"/>
              </w:rPr>
              <w:t>Microfellfield</w:t>
            </w:r>
          </w:p>
        </w:tc>
        <w:tc>
          <w:tcPr>
            <w:tcW w:w="1418" w:type="dxa"/>
            <w:shd w:val="clear" w:color="auto" w:fill="auto"/>
            <w:noWrap/>
            <w:hideMark/>
          </w:tcPr>
          <w:p w14:paraId="35A3D129" w14:textId="77777777" w:rsidR="00CF08B0" w:rsidRPr="008E5F6D" w:rsidRDefault="00CF08B0" w:rsidP="0077479B">
            <w:pPr>
              <w:spacing w:line="360" w:lineRule="auto"/>
              <w:rPr>
                <w:rFonts w:ascii="Times New Roman" w:hAnsi="Times New Roman"/>
              </w:rPr>
            </w:pPr>
            <w:r w:rsidRPr="008E5F6D">
              <w:rPr>
                <w:rFonts w:ascii="Times New Roman" w:hAnsi="Times New Roman"/>
              </w:rPr>
              <w:t>p=0,2255</w:t>
            </w:r>
          </w:p>
        </w:tc>
        <w:tc>
          <w:tcPr>
            <w:tcW w:w="1417" w:type="dxa"/>
            <w:shd w:val="clear" w:color="auto" w:fill="auto"/>
            <w:noWrap/>
            <w:hideMark/>
          </w:tcPr>
          <w:p w14:paraId="689BF03A" w14:textId="77777777" w:rsidR="00CF08B0" w:rsidRPr="008E5F6D" w:rsidRDefault="00CF08B0" w:rsidP="0077479B">
            <w:pPr>
              <w:spacing w:line="360" w:lineRule="auto"/>
              <w:rPr>
                <w:rFonts w:ascii="Times New Roman" w:hAnsi="Times New Roman"/>
              </w:rPr>
            </w:pPr>
            <w:r w:rsidRPr="008E5F6D">
              <w:rPr>
                <w:rFonts w:ascii="Times New Roman" w:hAnsi="Times New Roman"/>
              </w:rPr>
              <w:t>p=0,955</w:t>
            </w:r>
          </w:p>
        </w:tc>
        <w:tc>
          <w:tcPr>
            <w:tcW w:w="1418" w:type="dxa"/>
            <w:shd w:val="clear" w:color="auto" w:fill="auto"/>
            <w:noWrap/>
            <w:hideMark/>
          </w:tcPr>
          <w:p w14:paraId="415BD536" w14:textId="77777777" w:rsidR="00CF08B0" w:rsidRPr="008E5F6D" w:rsidRDefault="00CF08B0" w:rsidP="0077479B">
            <w:pPr>
              <w:spacing w:line="360" w:lineRule="auto"/>
              <w:rPr>
                <w:rFonts w:ascii="Times New Roman" w:hAnsi="Times New Roman"/>
              </w:rPr>
            </w:pPr>
            <w:r w:rsidRPr="008E5F6D">
              <w:rPr>
                <w:rFonts w:ascii="Times New Roman" w:hAnsi="Times New Roman"/>
              </w:rPr>
              <w:t>p=0,659</w:t>
            </w:r>
          </w:p>
        </w:tc>
      </w:tr>
      <w:tr w:rsidR="00CF08B0" w:rsidRPr="0087396D" w14:paraId="1E260F37" w14:textId="77777777" w:rsidTr="0077479B">
        <w:trPr>
          <w:trHeight w:val="300"/>
        </w:trPr>
        <w:tc>
          <w:tcPr>
            <w:tcW w:w="3397" w:type="dxa"/>
            <w:shd w:val="clear" w:color="auto" w:fill="auto"/>
            <w:noWrap/>
            <w:hideMark/>
          </w:tcPr>
          <w:p w14:paraId="133A8271" w14:textId="77777777" w:rsidR="00CF08B0" w:rsidRPr="008E5F6D" w:rsidRDefault="00CF08B0" w:rsidP="0077479B">
            <w:pPr>
              <w:spacing w:line="360" w:lineRule="auto"/>
              <w:rPr>
                <w:rFonts w:ascii="Times New Roman" w:hAnsi="Times New Roman"/>
              </w:rPr>
            </w:pPr>
            <w:r w:rsidRPr="008E5F6D">
              <w:rPr>
                <w:rFonts w:ascii="Times New Roman" w:hAnsi="Times New Roman"/>
              </w:rPr>
              <w:t>Habitat Generalist</w:t>
            </w:r>
          </w:p>
        </w:tc>
        <w:tc>
          <w:tcPr>
            <w:tcW w:w="1418" w:type="dxa"/>
            <w:shd w:val="clear" w:color="auto" w:fill="auto"/>
            <w:noWrap/>
            <w:hideMark/>
          </w:tcPr>
          <w:p w14:paraId="46AAE152" w14:textId="77777777" w:rsidR="00CF08B0" w:rsidRPr="008E5F6D" w:rsidRDefault="00CF08B0" w:rsidP="0077479B">
            <w:pPr>
              <w:spacing w:line="360" w:lineRule="auto"/>
              <w:rPr>
                <w:rFonts w:ascii="Times New Roman" w:hAnsi="Times New Roman"/>
              </w:rPr>
            </w:pPr>
            <w:r w:rsidRPr="008E5F6D">
              <w:rPr>
                <w:rFonts w:ascii="Times New Roman" w:hAnsi="Times New Roman"/>
              </w:rPr>
              <w:t>p=0,93956</w:t>
            </w:r>
          </w:p>
        </w:tc>
        <w:tc>
          <w:tcPr>
            <w:tcW w:w="1417" w:type="dxa"/>
            <w:shd w:val="clear" w:color="auto" w:fill="auto"/>
            <w:noWrap/>
            <w:hideMark/>
          </w:tcPr>
          <w:p w14:paraId="2492F071" w14:textId="77777777" w:rsidR="00CF08B0" w:rsidRPr="008E5F6D" w:rsidRDefault="00CF08B0" w:rsidP="0077479B">
            <w:pPr>
              <w:spacing w:line="360" w:lineRule="auto"/>
              <w:rPr>
                <w:rFonts w:ascii="Times New Roman" w:hAnsi="Times New Roman"/>
              </w:rPr>
            </w:pPr>
            <w:r w:rsidRPr="008E5F6D">
              <w:rPr>
                <w:rFonts w:ascii="Times New Roman" w:hAnsi="Times New Roman"/>
              </w:rPr>
              <w:t>p=0,783</w:t>
            </w:r>
          </w:p>
        </w:tc>
        <w:tc>
          <w:tcPr>
            <w:tcW w:w="1418" w:type="dxa"/>
            <w:shd w:val="clear" w:color="auto" w:fill="auto"/>
            <w:noWrap/>
            <w:hideMark/>
          </w:tcPr>
          <w:p w14:paraId="341ED6E0" w14:textId="77777777" w:rsidR="00CF08B0" w:rsidRPr="008E5F6D" w:rsidRDefault="00CF08B0" w:rsidP="0077479B">
            <w:pPr>
              <w:spacing w:line="360" w:lineRule="auto"/>
              <w:rPr>
                <w:rFonts w:ascii="Times New Roman" w:hAnsi="Times New Roman"/>
              </w:rPr>
            </w:pPr>
            <w:r w:rsidRPr="008E5F6D">
              <w:rPr>
                <w:rFonts w:ascii="Times New Roman" w:hAnsi="Times New Roman"/>
              </w:rPr>
              <w:t>p=0,344</w:t>
            </w:r>
          </w:p>
        </w:tc>
      </w:tr>
      <w:tr w:rsidR="00CF08B0" w:rsidRPr="0087396D" w14:paraId="24B9D064" w14:textId="77777777" w:rsidTr="0077479B">
        <w:trPr>
          <w:trHeight w:val="300"/>
        </w:trPr>
        <w:tc>
          <w:tcPr>
            <w:tcW w:w="3397" w:type="dxa"/>
            <w:shd w:val="clear" w:color="auto" w:fill="auto"/>
            <w:noWrap/>
            <w:hideMark/>
          </w:tcPr>
          <w:p w14:paraId="35228188" w14:textId="77777777" w:rsidR="00CF08B0" w:rsidRPr="008E5F6D" w:rsidRDefault="00CF08B0" w:rsidP="0077479B">
            <w:pPr>
              <w:spacing w:line="360" w:lineRule="auto"/>
              <w:rPr>
                <w:rFonts w:ascii="Times New Roman" w:hAnsi="Times New Roman"/>
              </w:rPr>
            </w:pPr>
            <w:r w:rsidRPr="008E5F6D">
              <w:rPr>
                <w:rFonts w:ascii="Times New Roman" w:hAnsi="Times New Roman"/>
              </w:rPr>
              <w:t>Scale(Ageing):Microsnowbed</w:t>
            </w:r>
          </w:p>
        </w:tc>
        <w:tc>
          <w:tcPr>
            <w:tcW w:w="1418" w:type="dxa"/>
            <w:shd w:val="clear" w:color="auto" w:fill="auto"/>
            <w:noWrap/>
            <w:hideMark/>
          </w:tcPr>
          <w:p w14:paraId="07CFFC00" w14:textId="77777777" w:rsidR="00CF08B0" w:rsidRPr="008E5F6D" w:rsidRDefault="00CF08B0" w:rsidP="0077479B">
            <w:pPr>
              <w:spacing w:line="360" w:lineRule="auto"/>
              <w:rPr>
                <w:rFonts w:ascii="Times New Roman" w:hAnsi="Times New Roman"/>
              </w:rPr>
            </w:pPr>
            <w:r w:rsidRPr="008E5F6D">
              <w:rPr>
                <w:rFonts w:ascii="Times New Roman" w:hAnsi="Times New Roman"/>
              </w:rPr>
              <w:t>p=0,0733</w:t>
            </w:r>
          </w:p>
        </w:tc>
        <w:tc>
          <w:tcPr>
            <w:tcW w:w="1417" w:type="dxa"/>
            <w:shd w:val="clear" w:color="auto" w:fill="auto"/>
            <w:noWrap/>
            <w:hideMark/>
          </w:tcPr>
          <w:p w14:paraId="51034B50" w14:textId="77777777" w:rsidR="00CF08B0" w:rsidRPr="008E5F6D" w:rsidRDefault="00CF08B0" w:rsidP="0077479B">
            <w:pPr>
              <w:spacing w:line="360" w:lineRule="auto"/>
              <w:rPr>
                <w:rFonts w:ascii="Times New Roman" w:hAnsi="Times New Roman"/>
              </w:rPr>
            </w:pPr>
            <w:r w:rsidRPr="008E5F6D">
              <w:rPr>
                <w:rFonts w:ascii="Times New Roman" w:hAnsi="Times New Roman"/>
              </w:rPr>
              <w:t>p=0,928</w:t>
            </w:r>
          </w:p>
        </w:tc>
        <w:tc>
          <w:tcPr>
            <w:tcW w:w="1418" w:type="dxa"/>
            <w:shd w:val="clear" w:color="auto" w:fill="auto"/>
            <w:noWrap/>
            <w:hideMark/>
          </w:tcPr>
          <w:p w14:paraId="066D2890" w14:textId="77777777" w:rsidR="00CF08B0" w:rsidRPr="008E5F6D" w:rsidRDefault="00CF08B0" w:rsidP="0077479B">
            <w:pPr>
              <w:spacing w:line="360" w:lineRule="auto"/>
              <w:rPr>
                <w:rFonts w:ascii="Times New Roman" w:hAnsi="Times New Roman"/>
              </w:rPr>
            </w:pPr>
            <w:r w:rsidRPr="008E5F6D">
              <w:rPr>
                <w:rFonts w:ascii="Times New Roman" w:hAnsi="Times New Roman"/>
              </w:rPr>
              <w:t>p=0,836</w:t>
            </w:r>
          </w:p>
        </w:tc>
      </w:tr>
      <w:tr w:rsidR="00CF08B0" w:rsidRPr="0087396D" w14:paraId="1A77C244" w14:textId="77777777" w:rsidTr="0077479B">
        <w:trPr>
          <w:trHeight w:val="300"/>
        </w:trPr>
        <w:tc>
          <w:tcPr>
            <w:tcW w:w="3397" w:type="dxa"/>
            <w:shd w:val="clear" w:color="auto" w:fill="auto"/>
            <w:noWrap/>
            <w:hideMark/>
          </w:tcPr>
          <w:p w14:paraId="077C4906" w14:textId="77777777" w:rsidR="00CF08B0" w:rsidRPr="008E5F6D" w:rsidRDefault="00CF08B0" w:rsidP="0077479B">
            <w:pPr>
              <w:spacing w:line="360" w:lineRule="auto"/>
              <w:rPr>
                <w:rFonts w:ascii="Times New Roman" w:hAnsi="Times New Roman"/>
              </w:rPr>
            </w:pPr>
            <w:r w:rsidRPr="008E5F6D">
              <w:rPr>
                <w:rFonts w:ascii="Times New Roman" w:hAnsi="Times New Roman"/>
              </w:rPr>
              <w:t>Scale(Ageing):Microfellfield</w:t>
            </w:r>
          </w:p>
        </w:tc>
        <w:tc>
          <w:tcPr>
            <w:tcW w:w="1418" w:type="dxa"/>
            <w:shd w:val="clear" w:color="auto" w:fill="auto"/>
            <w:noWrap/>
            <w:hideMark/>
          </w:tcPr>
          <w:p w14:paraId="460A239A" w14:textId="77777777" w:rsidR="00CF08B0" w:rsidRPr="008E5F6D" w:rsidRDefault="00CF08B0" w:rsidP="0077479B">
            <w:pPr>
              <w:spacing w:line="360" w:lineRule="auto"/>
              <w:rPr>
                <w:rFonts w:ascii="Times New Roman" w:hAnsi="Times New Roman"/>
              </w:rPr>
            </w:pPr>
            <w:r w:rsidRPr="008E5F6D">
              <w:rPr>
                <w:rFonts w:ascii="Times New Roman" w:hAnsi="Times New Roman"/>
              </w:rPr>
              <w:t>p=0,018</w:t>
            </w:r>
          </w:p>
        </w:tc>
        <w:tc>
          <w:tcPr>
            <w:tcW w:w="1417" w:type="dxa"/>
            <w:shd w:val="clear" w:color="auto" w:fill="auto"/>
            <w:noWrap/>
            <w:hideMark/>
          </w:tcPr>
          <w:p w14:paraId="0E049C2C" w14:textId="77777777" w:rsidR="00CF08B0" w:rsidRPr="008E5F6D" w:rsidRDefault="00CF08B0" w:rsidP="0077479B">
            <w:pPr>
              <w:spacing w:line="360" w:lineRule="auto"/>
              <w:rPr>
                <w:rFonts w:ascii="Times New Roman" w:hAnsi="Times New Roman"/>
              </w:rPr>
            </w:pPr>
            <w:r w:rsidRPr="008E5F6D">
              <w:rPr>
                <w:rFonts w:ascii="Times New Roman" w:hAnsi="Times New Roman"/>
              </w:rPr>
              <w:t>p=0,975</w:t>
            </w:r>
          </w:p>
        </w:tc>
        <w:tc>
          <w:tcPr>
            <w:tcW w:w="1418" w:type="dxa"/>
            <w:shd w:val="clear" w:color="auto" w:fill="auto"/>
            <w:noWrap/>
            <w:hideMark/>
          </w:tcPr>
          <w:p w14:paraId="61E7F390" w14:textId="77777777" w:rsidR="00CF08B0" w:rsidRPr="008E5F6D" w:rsidRDefault="00CF08B0" w:rsidP="0077479B">
            <w:pPr>
              <w:spacing w:line="360" w:lineRule="auto"/>
              <w:rPr>
                <w:rFonts w:ascii="Times New Roman" w:hAnsi="Times New Roman"/>
              </w:rPr>
            </w:pPr>
            <w:r w:rsidRPr="008E5F6D">
              <w:rPr>
                <w:rFonts w:ascii="Times New Roman" w:hAnsi="Times New Roman"/>
              </w:rPr>
              <w:t>p=0,56</w:t>
            </w:r>
          </w:p>
        </w:tc>
      </w:tr>
      <w:tr w:rsidR="00CF08B0" w:rsidRPr="0087396D" w14:paraId="4CA10ABD" w14:textId="77777777" w:rsidTr="0077479B">
        <w:trPr>
          <w:trHeight w:val="300"/>
        </w:trPr>
        <w:tc>
          <w:tcPr>
            <w:tcW w:w="3397" w:type="dxa"/>
            <w:shd w:val="clear" w:color="auto" w:fill="auto"/>
            <w:noWrap/>
            <w:hideMark/>
          </w:tcPr>
          <w:p w14:paraId="7F647434" w14:textId="77777777" w:rsidR="00CF08B0" w:rsidRPr="008E5F6D" w:rsidRDefault="00CF08B0" w:rsidP="0077479B">
            <w:pPr>
              <w:spacing w:line="360" w:lineRule="auto"/>
              <w:rPr>
                <w:rFonts w:ascii="Times New Roman" w:hAnsi="Times New Roman"/>
              </w:rPr>
            </w:pPr>
            <w:r w:rsidRPr="008E5F6D">
              <w:rPr>
                <w:rFonts w:ascii="Times New Roman" w:hAnsi="Times New Roman"/>
              </w:rPr>
              <w:t>Scale(Ageing):Habitatgeneralist</w:t>
            </w:r>
          </w:p>
        </w:tc>
        <w:tc>
          <w:tcPr>
            <w:tcW w:w="1418" w:type="dxa"/>
            <w:shd w:val="clear" w:color="auto" w:fill="auto"/>
            <w:noWrap/>
            <w:hideMark/>
          </w:tcPr>
          <w:p w14:paraId="4BCAF65C" w14:textId="77777777" w:rsidR="00CF08B0" w:rsidRPr="008E5F6D" w:rsidRDefault="00CF08B0" w:rsidP="0077479B">
            <w:pPr>
              <w:spacing w:line="360" w:lineRule="auto"/>
              <w:rPr>
                <w:rFonts w:ascii="Times New Roman" w:hAnsi="Times New Roman"/>
              </w:rPr>
            </w:pPr>
            <w:r w:rsidRPr="008E5F6D">
              <w:rPr>
                <w:rFonts w:ascii="Times New Roman" w:hAnsi="Times New Roman"/>
              </w:rPr>
              <w:t>p=0,05867</w:t>
            </w:r>
          </w:p>
        </w:tc>
        <w:tc>
          <w:tcPr>
            <w:tcW w:w="1417" w:type="dxa"/>
            <w:shd w:val="clear" w:color="auto" w:fill="auto"/>
            <w:noWrap/>
            <w:hideMark/>
          </w:tcPr>
          <w:p w14:paraId="445A10D9" w14:textId="77777777" w:rsidR="00CF08B0" w:rsidRPr="008E5F6D" w:rsidRDefault="00CF08B0" w:rsidP="0077479B">
            <w:pPr>
              <w:spacing w:line="360" w:lineRule="auto"/>
              <w:rPr>
                <w:rFonts w:ascii="Times New Roman" w:hAnsi="Times New Roman"/>
              </w:rPr>
            </w:pPr>
            <w:r w:rsidRPr="008E5F6D">
              <w:rPr>
                <w:rFonts w:ascii="Times New Roman" w:hAnsi="Times New Roman"/>
              </w:rPr>
              <w:t>p=0,974</w:t>
            </w:r>
          </w:p>
        </w:tc>
        <w:tc>
          <w:tcPr>
            <w:tcW w:w="1418" w:type="dxa"/>
            <w:shd w:val="clear" w:color="auto" w:fill="auto"/>
            <w:noWrap/>
            <w:hideMark/>
          </w:tcPr>
          <w:p w14:paraId="4E451E1D" w14:textId="77777777" w:rsidR="00CF08B0" w:rsidRPr="008E5F6D" w:rsidRDefault="00CF08B0" w:rsidP="0077479B">
            <w:pPr>
              <w:keepNext/>
              <w:spacing w:line="360" w:lineRule="auto"/>
              <w:rPr>
                <w:rFonts w:ascii="Times New Roman" w:hAnsi="Times New Roman"/>
              </w:rPr>
            </w:pPr>
            <w:r w:rsidRPr="008E5F6D">
              <w:rPr>
                <w:rFonts w:ascii="Times New Roman" w:hAnsi="Times New Roman"/>
              </w:rPr>
              <w:t>p=0,888</w:t>
            </w:r>
          </w:p>
        </w:tc>
      </w:tr>
    </w:tbl>
    <w:p w14:paraId="5925C415" w14:textId="77777777" w:rsidR="00CF08B0" w:rsidRPr="00C558EF" w:rsidRDefault="00CF08B0" w:rsidP="00CF08B0">
      <w:pPr>
        <w:pStyle w:val="Descripcin"/>
        <w:rPr>
          <w:rFonts w:ascii="Times New Roman" w:hAnsi="Times New Roman"/>
          <w:color w:val="000000"/>
          <w:sz w:val="20"/>
          <w:szCs w:val="20"/>
          <w:lang w:val="en-GB"/>
        </w:rPr>
      </w:pPr>
      <w:r>
        <w:rPr>
          <w:noProof/>
          <w:lang w:val="ca-ES" w:eastAsia="ca-ES"/>
        </w:rPr>
        <mc:AlternateContent>
          <mc:Choice Requires="wps">
            <w:drawing>
              <wp:anchor distT="45720" distB="45720" distL="114300" distR="114300" simplePos="0" relativeHeight="251662336" behindDoc="0" locked="0" layoutInCell="1" allowOverlap="1" wp14:anchorId="5BE2D6E4" wp14:editId="285ACEF5">
                <wp:simplePos x="0" y="0"/>
                <wp:positionH relativeFrom="margin">
                  <wp:posOffset>2423795</wp:posOffset>
                </wp:positionH>
                <wp:positionV relativeFrom="paragraph">
                  <wp:posOffset>722630</wp:posOffset>
                </wp:positionV>
                <wp:extent cx="266700" cy="266700"/>
                <wp:effectExtent l="0" t="0" r="0"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w="9525">
                          <a:noFill/>
                          <a:miter lim="800000"/>
                          <a:headEnd/>
                          <a:tailEnd/>
                        </a:ln>
                      </wps:spPr>
                      <wps:txbx>
                        <w:txbxContent>
                          <w:p w14:paraId="7A78AFAB" w14:textId="77777777" w:rsidR="00CF08B0" w:rsidRPr="00F4044C" w:rsidRDefault="00CF08B0" w:rsidP="00CF08B0">
                            <w:pPr>
                              <w:rPr>
                                <w:rFonts w:ascii="Times New Roman" w:hAnsi="Times New Roman"/>
                                <w:b/>
                                <w:bCs/>
                              </w:rPr>
                            </w:pPr>
                            <w:r w:rsidRPr="00F4044C">
                              <w:rPr>
                                <w:rFonts w:ascii="Times New Roman" w:hAnsi="Times New Roman"/>
                                <w:b/>
                                <w:bCs/>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E2D6E4" id="_x0000_t202" coordsize="21600,21600" o:spt="202" path="m,l,21600r21600,l21600,xe">
                <v:stroke joinstyle="miter"/>
                <v:path gradientshapeok="t" o:connecttype="rect"/>
              </v:shapetype>
              <v:shape id="Cuadro de texto 23" o:spid="_x0000_s1026" type="#_x0000_t202" style="position:absolute;margin-left:190.85pt;margin-top:56.9pt;width:21pt;height:21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" filled="f" stroked="f">
                <v:textbox style="mso-fit-shape-to-text:t">
                  <w:txbxContent>
                    <w:p w14:paraId="7A78AFAB" w14:textId="77777777" w:rsidR="00CF08B0" w:rsidRPr="00F4044C" w:rsidRDefault="00CF08B0" w:rsidP="00CF08B0">
                      <w:pPr>
                        <w:rPr>
                          <w:rFonts w:ascii="Times New Roman" w:hAnsi="Times New Roman"/>
                          <w:b/>
                          <w:bCs/>
                        </w:rPr>
                      </w:pPr>
                      <w:r w:rsidRPr="00F4044C">
                        <w:rPr>
                          <w:rFonts w:ascii="Times New Roman" w:hAnsi="Times New Roman"/>
                          <w:b/>
                          <w:bCs/>
                        </w:rPr>
                        <w:t>a</w:t>
                      </w:r>
                    </w:p>
                  </w:txbxContent>
                </v:textbox>
                <w10:wrap type="square" anchorx="margin"/>
              </v:shape>
            </w:pict>
          </mc:Fallback>
        </mc:AlternateContent>
      </w:r>
      <w:r>
        <w:rPr>
          <w:noProof/>
          <w:lang w:val="ca-ES" w:eastAsia="ca-ES"/>
        </w:rPr>
        <mc:AlternateContent>
          <mc:Choice Requires="wps">
            <w:drawing>
              <wp:anchor distT="45720" distB="45720" distL="114300" distR="114300" simplePos="0" relativeHeight="251663360" behindDoc="0" locked="0" layoutInCell="1" allowOverlap="1" wp14:anchorId="3EC25695" wp14:editId="40807A34">
                <wp:simplePos x="0" y="0"/>
                <wp:positionH relativeFrom="page">
                  <wp:posOffset>6352540</wp:posOffset>
                </wp:positionH>
                <wp:positionV relativeFrom="paragraph">
                  <wp:posOffset>675005</wp:posOffset>
                </wp:positionV>
                <wp:extent cx="521335" cy="266700"/>
                <wp:effectExtent l="0" t="0" r="0" b="0"/>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266700"/>
                        </a:xfrm>
                        <a:prstGeom prst="rect">
                          <a:avLst/>
                        </a:prstGeom>
                        <a:solidFill>
                          <a:srgbClr val="FFFFFF"/>
                        </a:solidFill>
                        <a:ln w="9525">
                          <a:noFill/>
                          <a:miter lim="800000"/>
                          <a:headEnd/>
                          <a:tailEnd/>
                        </a:ln>
                      </wps:spPr>
                      <wps:txbx>
                        <w:txbxContent>
                          <w:p w14:paraId="0631F059" w14:textId="77777777" w:rsidR="00CF08B0" w:rsidRPr="00F4044C" w:rsidRDefault="00CF08B0" w:rsidP="00CF08B0">
                            <w:pPr>
                              <w:rPr>
                                <w:rFonts w:ascii="Times New Roman" w:hAnsi="Times New Roman"/>
                                <w:b/>
                                <w:bCs/>
                              </w:rPr>
                            </w:pPr>
                            <w:r w:rsidRPr="00F4044C">
                              <w:rPr>
                                <w:rFonts w:ascii="Times New Roman" w:hAnsi="Times New Roman"/>
                                <w:b/>
                                <w:bCs/>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25695" id="Cuadro de texto 22" o:spid="_x0000_s1027" type="#_x0000_t202" style="position:absolute;margin-left:500.2pt;margin-top:53.15pt;width:41.05pt;height:21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" stroked="f">
                <v:textbox style="mso-fit-shape-to-text:t">
                  <w:txbxContent>
                    <w:p w14:paraId="0631F059" w14:textId="77777777" w:rsidR="00CF08B0" w:rsidRPr="00F4044C" w:rsidRDefault="00CF08B0" w:rsidP="00CF08B0">
                      <w:pPr>
                        <w:rPr>
                          <w:rFonts w:ascii="Times New Roman" w:hAnsi="Times New Roman"/>
                          <w:b/>
                          <w:bCs/>
                        </w:rPr>
                      </w:pPr>
                      <w:r w:rsidRPr="00F4044C">
                        <w:rPr>
                          <w:rFonts w:ascii="Times New Roman" w:hAnsi="Times New Roman"/>
                          <w:b/>
                          <w:bCs/>
                        </w:rPr>
                        <w:t>b</w:t>
                      </w:r>
                    </w:p>
                  </w:txbxContent>
                </v:textbox>
                <w10:wrap type="square" anchorx="page"/>
              </v:shape>
            </w:pict>
          </mc:Fallback>
        </mc:AlternateContent>
      </w:r>
      <w:r>
        <w:rPr>
          <w:noProof/>
          <w:lang w:val="ca-ES" w:eastAsia="ca-ES"/>
        </w:rPr>
        <w:drawing>
          <wp:anchor distT="0" distB="0" distL="114300" distR="114300" simplePos="0" relativeHeight="251660288" behindDoc="0" locked="0" layoutInCell="1" allowOverlap="1" wp14:anchorId="1BDD0232" wp14:editId="08AA01D3">
            <wp:simplePos x="0" y="0"/>
            <wp:positionH relativeFrom="margin">
              <wp:posOffset>3292475</wp:posOffset>
            </wp:positionH>
            <wp:positionV relativeFrom="paragraph">
              <wp:posOffset>556895</wp:posOffset>
            </wp:positionV>
            <wp:extent cx="2628900" cy="2628900"/>
            <wp:effectExtent l="0" t="0" r="0" b="0"/>
            <wp:wrapTopAndBottom/>
            <wp:docPr id="2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pic:spPr>
                </pic:pic>
              </a:graphicData>
            </a:graphic>
            <wp14:sizeRelH relativeFrom="margin">
              <wp14:pctWidth>0</wp14:pctWidth>
            </wp14:sizeRelH>
            <wp14:sizeRelV relativeFrom="margin">
              <wp14:pctHeight>0</wp14:pctHeight>
            </wp14:sizeRelV>
          </wp:anchor>
        </w:drawing>
      </w:r>
      <w:r w:rsidRPr="00C558EF">
        <w:rPr>
          <w:rFonts w:ascii="Times New Roman" w:hAnsi="Times New Roman"/>
          <w:color w:val="000000"/>
          <w:sz w:val="20"/>
          <w:szCs w:val="20"/>
          <w:lang w:val="en-GB"/>
        </w:rPr>
        <w:t>Table 2: MCMC-GLM with germination indices (gaussian): GRP=germination percentage; MGR=mean germination rate; SYN=synchrony; indices from GerminR.</w:t>
      </w:r>
    </w:p>
    <w:p w14:paraId="18E04827" w14:textId="77777777" w:rsidR="00CF08B0" w:rsidRPr="0087396D" w:rsidRDefault="00CF08B0" w:rsidP="00CF08B0">
      <w:pPr>
        <w:rPr>
          <w:rFonts w:ascii="Times New Roman" w:hAnsi="Times New Roman"/>
          <w:lang w:val="en-GB"/>
        </w:rPr>
      </w:pPr>
      <w:r>
        <w:rPr>
          <w:noProof/>
          <w:lang w:eastAsia="ca-ES"/>
        </w:rPr>
        <w:drawing>
          <wp:anchor distT="0" distB="0" distL="114300" distR="114300" simplePos="0" relativeHeight="251661312" behindDoc="0" locked="0" layoutInCell="1" allowOverlap="1" wp14:anchorId="7D149DF7" wp14:editId="1AFD1447">
            <wp:simplePos x="0" y="0"/>
            <wp:positionH relativeFrom="margin">
              <wp:align>left</wp:align>
            </wp:positionH>
            <wp:positionV relativeFrom="paragraph">
              <wp:posOffset>288925</wp:posOffset>
            </wp:positionV>
            <wp:extent cx="3086100" cy="2541270"/>
            <wp:effectExtent l="0" t="0" r="0" b="0"/>
            <wp:wrapTopAndBottom/>
            <wp:docPr id="20"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541270"/>
                    </a:xfrm>
                    <a:prstGeom prst="rect">
                      <a:avLst/>
                    </a:prstGeom>
                    <a:noFill/>
                  </pic:spPr>
                </pic:pic>
              </a:graphicData>
            </a:graphic>
            <wp14:sizeRelH relativeFrom="margin">
              <wp14:pctWidth>0</wp14:pctWidth>
            </wp14:sizeRelH>
            <wp14:sizeRelV relativeFrom="margin">
              <wp14:pctHeight>0</wp14:pctHeight>
            </wp14:sizeRelV>
          </wp:anchor>
        </w:drawing>
      </w:r>
    </w:p>
    <w:p w14:paraId="6F3CB092" w14:textId="77777777" w:rsidR="00CF08B0" w:rsidRPr="00C558EF" w:rsidRDefault="00CF08B0" w:rsidP="00CF08B0">
      <w:pPr>
        <w:pStyle w:val="Descripcin"/>
        <w:keepNext/>
        <w:rPr>
          <w:rFonts w:ascii="Times New Roman" w:hAnsi="Times New Roman"/>
          <w:color w:val="000000"/>
          <w:sz w:val="20"/>
          <w:szCs w:val="20"/>
          <w:lang w:val="en-GB"/>
        </w:rPr>
      </w:pPr>
      <w:r w:rsidRPr="00C558EF">
        <w:rPr>
          <w:rFonts w:ascii="Times New Roman" w:hAnsi="Times New Roman"/>
          <w:color w:val="000000"/>
          <w:sz w:val="20"/>
          <w:szCs w:val="20"/>
          <w:lang w:val="en-GB"/>
        </w:rPr>
        <w:lastRenderedPageBreak/>
        <w:t>Fig. 11: a) Germination percentage (GRP)and b) Mean germination rate (MGR) trends in response to the days of ageing.</w:t>
      </w:r>
    </w:p>
    <w:p w14:paraId="064EB7EB" w14:textId="77777777" w:rsidR="00CF08B0" w:rsidRDefault="00CF08B0" w:rsidP="00CF08B0">
      <w:pPr>
        <w:jc w:val="both"/>
        <w:rPr>
          <w:rFonts w:ascii="Times New Roman" w:hAnsi="Times New Roman"/>
          <w:lang w:val="en-GB"/>
        </w:rPr>
      </w:pPr>
    </w:p>
    <w:p w14:paraId="14F274FC" w14:textId="77777777" w:rsidR="00CF08B0" w:rsidRPr="00457AD3" w:rsidRDefault="00CF08B0" w:rsidP="00CF08B0">
      <w:pPr>
        <w:jc w:val="center"/>
        <w:rPr>
          <w:rFonts w:ascii="Times New Roman" w:hAnsi="Times New Roman"/>
          <w:lang w:val="en-GB"/>
        </w:rPr>
      </w:pPr>
      <w:r>
        <w:rPr>
          <w:rFonts w:ascii="Times New Roman" w:hAnsi="Times New Roman"/>
          <w:noProof/>
          <w:lang w:eastAsia="ca-ES"/>
        </w:rPr>
        <w:drawing>
          <wp:inline distT="0" distB="0" distL="0" distR="0" wp14:anchorId="79FFB1E5" wp14:editId="615890AE">
            <wp:extent cx="4705350" cy="36480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3648075"/>
                    </a:xfrm>
                    <a:prstGeom prst="rect">
                      <a:avLst/>
                    </a:prstGeom>
                    <a:noFill/>
                    <a:ln>
                      <a:noFill/>
                    </a:ln>
                  </pic:spPr>
                </pic:pic>
              </a:graphicData>
            </a:graphic>
          </wp:inline>
        </w:drawing>
      </w:r>
      <w:r>
        <w:rPr>
          <w:noProof/>
          <w:lang w:eastAsia="ca-ES"/>
        </w:rPr>
        <mc:AlternateContent>
          <mc:Choice Requires="wps">
            <w:drawing>
              <wp:anchor distT="0" distB="0" distL="114300" distR="114300" simplePos="0" relativeHeight="251659264" behindDoc="0" locked="0" layoutInCell="1" allowOverlap="1" wp14:anchorId="1DB35208" wp14:editId="035EC930">
                <wp:simplePos x="0" y="0"/>
                <wp:positionH relativeFrom="column">
                  <wp:posOffset>4128770</wp:posOffset>
                </wp:positionH>
                <wp:positionV relativeFrom="paragraph">
                  <wp:posOffset>158750</wp:posOffset>
                </wp:positionV>
                <wp:extent cx="266700" cy="123825"/>
                <wp:effectExtent l="0" t="0" r="0" b="952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2382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BFEED1" id="Rectángulo 19" o:spid="_x0000_s1026" style="position:absolute;margin-left:325.1pt;margin-top:12.5pt;width:21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" fillcolor="window" stroked="f" strokeweight="1pt">
                <v:path arrowok="t"/>
              </v:rect>
            </w:pict>
          </mc:Fallback>
        </mc:AlternateContent>
      </w:r>
    </w:p>
    <w:p w14:paraId="347EAD62" w14:textId="77777777" w:rsidR="00CF08B0" w:rsidRPr="00C558EF" w:rsidRDefault="00CF08B0" w:rsidP="00CF08B0">
      <w:pPr>
        <w:pStyle w:val="Descripcin"/>
        <w:keepNext/>
        <w:jc w:val="both"/>
        <w:rPr>
          <w:rFonts w:ascii="Times New Roman" w:hAnsi="Times New Roman"/>
          <w:color w:val="000000"/>
          <w:sz w:val="20"/>
          <w:szCs w:val="20"/>
          <w:lang w:val="en-GB"/>
        </w:rPr>
      </w:pPr>
      <w:r w:rsidRPr="00C558EF">
        <w:rPr>
          <w:rFonts w:ascii="Times New Roman" w:hAnsi="Times New Roman"/>
          <w:color w:val="000000"/>
          <w:sz w:val="20"/>
          <w:szCs w:val="20"/>
          <w:lang w:val="en-GB"/>
        </w:rPr>
        <w:t>Fig. 12: Germination percentage depending on ageing days; curves divided by bedrock type: blue=calcareous bedrock; red=siliceous bedrock.</w:t>
      </w:r>
    </w:p>
    <w:p w14:paraId="7ACE472A" w14:textId="77777777" w:rsidR="00CF08B0" w:rsidRPr="00BB052D" w:rsidRDefault="00CF08B0" w:rsidP="00CF08B0">
      <w:pPr>
        <w:rPr>
          <w:lang w:val="en-GB"/>
        </w:rPr>
      </w:pPr>
    </w:p>
    <w:p w14:paraId="568D09CC" w14:textId="77777777" w:rsidR="00CF08B0" w:rsidRDefault="00CF08B0" w:rsidP="00CF08B0">
      <w:pPr>
        <w:spacing w:line="360" w:lineRule="auto"/>
        <w:jc w:val="both"/>
        <w:outlineLvl w:val="1"/>
        <w:rPr>
          <w:rFonts w:ascii="Times New Roman" w:hAnsi="Times New Roman"/>
          <w:b/>
          <w:bCs/>
          <w:lang w:val="en-GB"/>
        </w:rPr>
      </w:pPr>
      <w:r w:rsidRPr="00647BBB">
        <w:rPr>
          <w:rFonts w:ascii="Times New Roman" w:hAnsi="Times New Roman"/>
          <w:b/>
          <w:bCs/>
          <w:lang w:val="en-GB"/>
        </w:rPr>
        <w:tab/>
      </w:r>
      <w:bookmarkStart w:id="11" w:name="_Toc120029910"/>
      <w:r w:rsidRPr="00647BBB">
        <w:rPr>
          <w:rFonts w:ascii="Times New Roman" w:hAnsi="Times New Roman"/>
          <w:b/>
          <w:bCs/>
          <w:lang w:val="en-GB"/>
        </w:rPr>
        <w:t>4.3</w:t>
      </w:r>
      <w:r>
        <w:rPr>
          <w:rFonts w:ascii="Times New Roman" w:hAnsi="Times New Roman"/>
          <w:b/>
          <w:bCs/>
          <w:lang w:val="en-GB"/>
        </w:rPr>
        <w:t>. Intra-specific differences</w:t>
      </w:r>
      <w:bookmarkEnd w:id="11"/>
    </w:p>
    <w:p w14:paraId="7BBDB48B" w14:textId="77777777" w:rsidR="00CF08B0" w:rsidRDefault="00CF08B0" w:rsidP="00CF08B0">
      <w:pPr>
        <w:spacing w:line="360" w:lineRule="auto"/>
        <w:jc w:val="both"/>
        <w:rPr>
          <w:rFonts w:ascii="Times New Roman" w:hAnsi="Times New Roman"/>
          <w:lang w:val="en-GB"/>
        </w:rPr>
      </w:pPr>
      <w:commentRangeStart w:id="12"/>
      <w:r>
        <w:rPr>
          <w:rFonts w:ascii="Times New Roman" w:hAnsi="Times New Roman"/>
          <w:lang w:val="en-GB"/>
        </w:rPr>
        <w:t>Some</w:t>
      </w:r>
      <w:commentRangeEnd w:id="12"/>
      <w:r>
        <w:rPr>
          <w:rStyle w:val="Refdecomentario"/>
          <w:rFonts w:ascii="Calibri" w:eastAsia="Calibri" w:hAnsi="Calibri"/>
        </w:rPr>
        <w:commentReference w:id="12"/>
      </w:r>
      <w:r>
        <w:rPr>
          <w:rFonts w:ascii="Times New Roman" w:hAnsi="Times New Roman"/>
          <w:lang w:val="en-GB"/>
        </w:rPr>
        <w:t xml:space="preserve"> entries belonged to the same species (Fig. 13) and </w:t>
      </w:r>
      <w:commentRangeStart w:id="13"/>
      <w:r>
        <w:rPr>
          <w:rFonts w:ascii="Times New Roman" w:hAnsi="Times New Roman"/>
          <w:lang w:val="en-GB"/>
        </w:rPr>
        <w:t>some</w:t>
      </w:r>
      <w:commentRangeEnd w:id="13"/>
      <w:r>
        <w:rPr>
          <w:rStyle w:val="Refdecomentario"/>
          <w:rFonts w:ascii="Calibri" w:eastAsia="Calibri" w:hAnsi="Calibri"/>
        </w:rPr>
        <w:commentReference w:id="13"/>
      </w:r>
      <w:r>
        <w:rPr>
          <w:rFonts w:ascii="Times New Roman" w:hAnsi="Times New Roman"/>
          <w:lang w:val="en-GB"/>
        </w:rPr>
        <w:t xml:space="preserve"> of them showed differences in germination loss response between the two different microhabitat preference.</w:t>
      </w:r>
    </w:p>
    <w:p w14:paraId="37C425BE" w14:textId="77777777" w:rsidR="00CF08B0" w:rsidRDefault="00CF08B0" w:rsidP="00CF08B0">
      <w:pPr>
        <w:spacing w:line="360" w:lineRule="auto"/>
        <w:jc w:val="both"/>
        <w:rPr>
          <w:rFonts w:ascii="Times New Roman" w:hAnsi="Times New Roman"/>
          <w:lang w:val="en-GB"/>
        </w:rPr>
      </w:pPr>
    </w:p>
    <w:p w14:paraId="7AE8BD91" w14:textId="77777777" w:rsidR="00CF08B0" w:rsidRDefault="00CF08B0" w:rsidP="00CF08B0">
      <w:pPr>
        <w:spacing w:line="360" w:lineRule="auto"/>
        <w:jc w:val="center"/>
        <w:rPr>
          <w:rFonts w:ascii="Times New Roman" w:hAnsi="Times New Roman"/>
          <w:lang w:val="en-GB"/>
        </w:rPr>
      </w:pPr>
      <w:r>
        <w:rPr>
          <w:rFonts w:ascii="Times New Roman" w:hAnsi="Times New Roman"/>
          <w:noProof/>
          <w:lang w:eastAsia="ca-ES"/>
        </w:rPr>
        <w:lastRenderedPageBreak/>
        <w:drawing>
          <wp:inline distT="0" distB="0" distL="0" distR="0" wp14:anchorId="6658E677" wp14:editId="7B8E4DA0">
            <wp:extent cx="4581525" cy="3600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l="11742" b="10330"/>
                    <a:stretch>
                      <a:fillRect/>
                    </a:stretch>
                  </pic:blipFill>
                  <pic:spPr bwMode="auto">
                    <a:xfrm>
                      <a:off x="0" y="0"/>
                      <a:ext cx="4581525" cy="3600450"/>
                    </a:xfrm>
                    <a:prstGeom prst="rect">
                      <a:avLst/>
                    </a:prstGeom>
                    <a:noFill/>
                    <a:ln>
                      <a:noFill/>
                    </a:ln>
                  </pic:spPr>
                </pic:pic>
              </a:graphicData>
            </a:graphic>
          </wp:inline>
        </w:drawing>
      </w:r>
    </w:p>
    <w:p w14:paraId="4DBD51D2" w14:textId="77777777" w:rsidR="00CF08B0" w:rsidRPr="00C558EF" w:rsidRDefault="00CF08B0" w:rsidP="00CF08B0">
      <w:pPr>
        <w:pStyle w:val="Descripcin"/>
        <w:keepNext/>
        <w:jc w:val="both"/>
        <w:rPr>
          <w:rFonts w:ascii="Times New Roman" w:hAnsi="Times New Roman"/>
          <w:color w:val="000000"/>
          <w:sz w:val="20"/>
          <w:szCs w:val="20"/>
          <w:lang w:val="en-GB"/>
        </w:rPr>
      </w:pPr>
      <w:r w:rsidRPr="00C558EF">
        <w:rPr>
          <w:rFonts w:ascii="Times New Roman" w:hAnsi="Times New Roman"/>
          <w:color w:val="000000"/>
          <w:sz w:val="20"/>
          <w:szCs w:val="20"/>
          <w:lang w:val="en-GB"/>
        </w:rPr>
        <w:t xml:space="preserve">Fig. </w:t>
      </w:r>
      <w:r w:rsidRPr="00C558EF">
        <w:rPr>
          <w:rFonts w:ascii="Times New Roman" w:hAnsi="Times New Roman"/>
          <w:color w:val="000000"/>
          <w:sz w:val="20"/>
          <w:szCs w:val="20"/>
        </w:rPr>
        <w:fldChar w:fldCharType="begin"/>
      </w:r>
      <w:r w:rsidRPr="00C558EF">
        <w:rPr>
          <w:rFonts w:ascii="Times New Roman" w:hAnsi="Times New Roman"/>
          <w:color w:val="000000"/>
          <w:sz w:val="20"/>
          <w:szCs w:val="20"/>
          <w:lang w:val="en-GB"/>
        </w:rPr>
        <w:instrText xml:space="preserve"> SEQ Figure \* ARABIC </w:instrText>
      </w:r>
      <w:r w:rsidRPr="00C558EF">
        <w:rPr>
          <w:rFonts w:ascii="Times New Roman" w:hAnsi="Times New Roman"/>
          <w:color w:val="000000"/>
          <w:sz w:val="20"/>
          <w:szCs w:val="20"/>
        </w:rPr>
        <w:fldChar w:fldCharType="separate"/>
      </w:r>
      <w:r w:rsidRPr="00C558EF">
        <w:rPr>
          <w:rFonts w:ascii="Times New Roman" w:hAnsi="Times New Roman"/>
          <w:noProof/>
          <w:color w:val="000000"/>
          <w:sz w:val="20"/>
          <w:szCs w:val="20"/>
          <w:lang w:val="en-GB"/>
        </w:rPr>
        <w:t>1</w:t>
      </w:r>
      <w:r w:rsidRPr="00C558EF">
        <w:rPr>
          <w:rFonts w:ascii="Times New Roman" w:hAnsi="Times New Roman"/>
          <w:color w:val="000000"/>
          <w:sz w:val="20"/>
          <w:szCs w:val="20"/>
        </w:rPr>
        <w:fldChar w:fldCharType="end"/>
      </w:r>
      <w:r w:rsidRPr="00C558EF">
        <w:rPr>
          <w:rFonts w:ascii="Times New Roman" w:hAnsi="Times New Roman"/>
          <w:color w:val="000000"/>
          <w:sz w:val="20"/>
          <w:szCs w:val="20"/>
          <w:lang w:val="en-GB"/>
        </w:rPr>
        <w:t>3: y=Germination percentage; x=Days of ageing; Each colour represents a species.</w:t>
      </w:r>
    </w:p>
    <w:p w14:paraId="72F8BFBA" w14:textId="77777777" w:rsidR="00CF08B0" w:rsidRDefault="00CF08B0" w:rsidP="00CF08B0">
      <w:pPr>
        <w:spacing w:line="360" w:lineRule="auto"/>
        <w:jc w:val="both"/>
        <w:rPr>
          <w:rFonts w:ascii="Times New Roman" w:hAnsi="Times New Roman"/>
          <w:lang w:val="en-GB"/>
        </w:rPr>
      </w:pPr>
    </w:p>
    <w:p w14:paraId="4BE025A0" w14:textId="77777777" w:rsidR="00CF08B0" w:rsidRPr="0073770D" w:rsidRDefault="00CF08B0" w:rsidP="00CF08B0">
      <w:pPr>
        <w:spacing w:line="360" w:lineRule="auto"/>
        <w:jc w:val="both"/>
        <w:rPr>
          <w:rFonts w:ascii="Times New Roman" w:hAnsi="Times New Roman"/>
          <w:lang w:val="en-GB"/>
        </w:rPr>
      </w:pPr>
      <w:r>
        <w:rPr>
          <w:rFonts w:ascii="Times New Roman" w:hAnsi="Times New Roman"/>
          <w:lang w:val="en-GB"/>
        </w:rPr>
        <w:t xml:space="preserve">The responses were different depending on the species considered: </w:t>
      </w:r>
      <w:r>
        <w:rPr>
          <w:rFonts w:ascii="Times New Roman" w:hAnsi="Times New Roman"/>
          <w:i/>
          <w:iCs/>
          <w:lang w:val="en-GB"/>
        </w:rPr>
        <w:t>Silene acaulis</w:t>
      </w:r>
      <w:r>
        <w:rPr>
          <w:rFonts w:ascii="Times New Roman" w:hAnsi="Times New Roman"/>
          <w:lang w:val="en-GB"/>
        </w:rPr>
        <w:t xml:space="preserve"> </w:t>
      </w:r>
      <w:commentRangeStart w:id="14"/>
      <w:r>
        <w:rPr>
          <w:rFonts w:ascii="Times New Roman" w:hAnsi="Times New Roman"/>
          <w:lang w:val="en-GB"/>
        </w:rPr>
        <w:t>was the most responsive</w:t>
      </w:r>
      <w:commentRangeEnd w:id="14"/>
      <w:r>
        <w:rPr>
          <w:rStyle w:val="Refdecomentario"/>
        </w:rPr>
        <w:commentReference w:id="14"/>
      </w:r>
      <w:r w:rsidRPr="00AF4A38">
        <w:rPr>
          <w:rFonts w:ascii="Times New Roman" w:hAnsi="Times New Roman"/>
          <w:lang w:val="en-GB"/>
        </w:rPr>
        <w:t xml:space="preserve"> </w:t>
      </w:r>
      <w:r>
        <w:rPr>
          <w:rFonts w:ascii="Times New Roman" w:hAnsi="Times New Roman"/>
          <w:lang w:val="en-GB"/>
        </w:rPr>
        <w:t xml:space="preserve">to the ageing protocol, as we can see by the shift in the germination percentage (GRP) curve (Fig. 13), while </w:t>
      </w:r>
      <w:r w:rsidRPr="001C69FB">
        <w:rPr>
          <w:rFonts w:ascii="Times New Roman" w:hAnsi="Times New Roman"/>
          <w:i/>
          <w:iCs/>
          <w:lang w:val="en-GB"/>
        </w:rPr>
        <w:t>Pedicularis pirenaica</w:t>
      </w:r>
      <w:commentRangeStart w:id="15"/>
      <w:r>
        <w:rPr>
          <w:rFonts w:ascii="Times New Roman" w:hAnsi="Times New Roman"/>
          <w:lang w:val="en-GB"/>
        </w:rPr>
        <w:t xml:space="preserve"> </w:t>
      </w:r>
      <w:commentRangeEnd w:id="15"/>
      <w:r>
        <w:rPr>
          <w:rStyle w:val="Refdecomentario"/>
        </w:rPr>
        <w:commentReference w:id="15"/>
      </w:r>
      <w:r>
        <w:rPr>
          <w:rFonts w:ascii="Times New Roman" w:hAnsi="Times New Roman"/>
          <w:lang w:val="en-GB"/>
        </w:rPr>
        <w:t>was the least affected, maybe the most phylogenetically constrained.</w:t>
      </w:r>
    </w:p>
    <w:p w14:paraId="71104A0E" w14:textId="77777777" w:rsidR="00CF08B0" w:rsidRDefault="00CF08B0" w:rsidP="00CF08B0">
      <w:pPr>
        <w:pStyle w:val="Subttulo"/>
        <w:spacing w:line="360" w:lineRule="auto"/>
        <w:jc w:val="both"/>
        <w:rPr>
          <w:sz w:val="24"/>
          <w:szCs w:val="18"/>
          <w:lang w:val="en-GB"/>
        </w:rPr>
      </w:pPr>
    </w:p>
    <w:p w14:paraId="18F6009C" w14:textId="77777777" w:rsidR="00CF08B0" w:rsidRPr="003211CE" w:rsidRDefault="00CF08B0" w:rsidP="00CF08B0">
      <w:pPr>
        <w:spacing w:line="360" w:lineRule="auto"/>
        <w:ind w:firstLine="708"/>
        <w:jc w:val="both"/>
        <w:outlineLvl w:val="0"/>
        <w:rPr>
          <w:rFonts w:ascii="Times New Roman" w:hAnsi="Times New Roman"/>
          <w:b/>
          <w:bCs/>
          <w:lang w:val="en-GB"/>
        </w:rPr>
      </w:pPr>
      <w:bookmarkStart w:id="16" w:name="_Toc120029911"/>
      <w:r w:rsidRPr="003211CE">
        <w:rPr>
          <w:rFonts w:ascii="Times New Roman" w:hAnsi="Times New Roman"/>
          <w:b/>
          <w:bCs/>
          <w:lang w:val="en-GB"/>
        </w:rPr>
        <w:t>5. DISCUSSION</w:t>
      </w:r>
      <w:bookmarkEnd w:id="16"/>
    </w:p>
    <w:p w14:paraId="30822E86" w14:textId="77777777" w:rsidR="00CF08B0" w:rsidRPr="004A4C1C" w:rsidRDefault="00CF08B0" w:rsidP="00CF08B0">
      <w:pPr>
        <w:spacing w:line="360" w:lineRule="auto"/>
        <w:jc w:val="both"/>
        <w:rPr>
          <w:rFonts w:ascii="Times New Roman" w:hAnsi="Times New Roman"/>
          <w:lang w:val="en-GB"/>
        </w:rPr>
      </w:pPr>
      <w:r w:rsidRPr="00F120C7">
        <w:rPr>
          <w:rFonts w:ascii="Times New Roman" w:hAnsi="Times New Roman"/>
          <w:lang w:val="en-GB"/>
        </w:rPr>
        <w:t>Understanding species difference</w:t>
      </w:r>
      <w:r>
        <w:rPr>
          <w:rFonts w:ascii="Times New Roman" w:hAnsi="Times New Roman"/>
          <w:lang w:val="en-GB"/>
        </w:rPr>
        <w:t>s</w:t>
      </w:r>
      <w:r w:rsidRPr="00F120C7">
        <w:rPr>
          <w:rFonts w:ascii="Times New Roman" w:hAnsi="Times New Roman"/>
          <w:lang w:val="en-GB"/>
        </w:rPr>
        <w:t xml:space="preserve"> in seed l</w:t>
      </w:r>
      <w:r>
        <w:rPr>
          <w:rFonts w:ascii="Times New Roman" w:hAnsi="Times New Roman"/>
          <w:lang w:val="en-GB"/>
        </w:rPr>
        <w:t xml:space="preserve">ongevity is crucial to the effective management of seed collections, because it underpins the selection of viability test intervals and hence the strategies of regeneration or re-collection </w:t>
      </w:r>
      <w:r w:rsidRPr="00732467">
        <w:rPr>
          <w:rFonts w:ascii="Times New Roman" w:hAnsi="Times New Roman"/>
          <w:lang w:val="en-GB"/>
        </w:rPr>
        <w:t>(Probert et al., 2009)</w:t>
      </w:r>
      <w:r>
        <w:rPr>
          <w:rFonts w:ascii="Times New Roman" w:hAnsi="Times New Roman"/>
          <w:lang w:val="en-GB"/>
        </w:rPr>
        <w:t xml:space="preserve">. Current studies have already shown significant variation in the longevity of seeds, which could be related to different factors, such as environmental stress </w:t>
      </w:r>
      <w:r w:rsidRPr="0096719D">
        <w:rPr>
          <w:rFonts w:ascii="Times New Roman" w:hAnsi="Times New Roman"/>
          <w:lang w:val="en-GB"/>
        </w:rPr>
        <w:t>(Walters &amp; Pence, 2021)</w:t>
      </w:r>
      <w:r>
        <w:rPr>
          <w:rFonts w:ascii="Times New Roman" w:hAnsi="Times New Roman"/>
          <w:lang w:val="en-GB"/>
        </w:rPr>
        <w:t xml:space="preserve">, like the amount of ROS </w:t>
      </w:r>
      <w:r w:rsidRPr="009D06A5">
        <w:rPr>
          <w:rFonts w:ascii="Times New Roman" w:hAnsi="Times New Roman"/>
          <w:lang w:val="en-GB"/>
        </w:rPr>
        <w:t>(Bailly, 2004)</w:t>
      </w:r>
      <w:r>
        <w:rPr>
          <w:rFonts w:ascii="Times New Roman" w:hAnsi="Times New Roman"/>
          <w:lang w:val="en-GB"/>
        </w:rPr>
        <w:t xml:space="preserve">, genetic factors </w:t>
      </w:r>
      <w:r w:rsidRPr="005902F2">
        <w:rPr>
          <w:rFonts w:ascii="Times New Roman" w:hAnsi="Times New Roman"/>
          <w:lang w:val="en-GB"/>
        </w:rPr>
        <w:t>(Mondoni et al., 2014)</w:t>
      </w:r>
      <w:r>
        <w:rPr>
          <w:rFonts w:ascii="Times New Roman" w:hAnsi="Times New Roman"/>
          <w:lang w:val="en-GB"/>
        </w:rPr>
        <w:t xml:space="preserve">, dormancy and endosperm presence </w:t>
      </w:r>
      <w:r w:rsidRPr="00813B4F">
        <w:rPr>
          <w:rFonts w:ascii="Times New Roman" w:hAnsi="Times New Roman"/>
          <w:lang w:val="en-GB"/>
        </w:rPr>
        <w:t>(Tausch et al., 2019)</w:t>
      </w:r>
      <w:r>
        <w:rPr>
          <w:rFonts w:ascii="Times New Roman" w:hAnsi="Times New Roman"/>
          <w:lang w:val="en-GB"/>
        </w:rPr>
        <w:t xml:space="preserve">. A seed is a perfect organism to bank, because of its adaptation to stressful conditions </w:t>
      </w:r>
      <w:r w:rsidRPr="006E5804">
        <w:rPr>
          <w:rFonts w:ascii="Times New Roman" w:hAnsi="Times New Roman"/>
          <w:lang w:val="en-GB"/>
        </w:rPr>
        <w:t>(Walters &amp; Pence, 2021)</w:t>
      </w:r>
      <w:r>
        <w:rPr>
          <w:rFonts w:ascii="Times New Roman" w:hAnsi="Times New Roman"/>
          <w:lang w:val="en-GB"/>
        </w:rPr>
        <w:t xml:space="preserve">, but the resistance in the time is variable </w:t>
      </w:r>
      <w:r w:rsidRPr="00AF5F56">
        <w:rPr>
          <w:rFonts w:ascii="Times New Roman" w:hAnsi="Times New Roman"/>
          <w:lang w:val="en-GB"/>
        </w:rPr>
        <w:t>(Mondoni et al., 2011; Probert et al., 2009; Walters et al., 2005)</w:t>
      </w:r>
      <w:r>
        <w:rPr>
          <w:rFonts w:ascii="Times New Roman" w:hAnsi="Times New Roman"/>
          <w:lang w:val="en-GB"/>
        </w:rPr>
        <w:t xml:space="preserve">: some patterns have been recognised, as the dependence on the phylogeny and the shorter life of the alpine seeds </w:t>
      </w:r>
      <w:r w:rsidRPr="00841711">
        <w:rPr>
          <w:rFonts w:ascii="Times New Roman" w:hAnsi="Times New Roman"/>
          <w:lang w:val="en-GB"/>
        </w:rPr>
        <w:t>(Mondoni et al., 2011)</w:t>
      </w:r>
      <w:r>
        <w:rPr>
          <w:rFonts w:ascii="Times New Roman" w:hAnsi="Times New Roman"/>
          <w:lang w:val="en-GB"/>
        </w:rPr>
        <w:t xml:space="preserve">, but a big fraction of this variability is not yet explained. In fact, among the alpine species there’s much variability </w:t>
      </w:r>
      <w:r w:rsidRPr="00775CAA">
        <w:rPr>
          <w:rFonts w:ascii="Times New Roman" w:hAnsi="Times New Roman"/>
          <w:lang w:val="en-GB"/>
        </w:rPr>
        <w:t>(Mondoni et al., 2014)</w:t>
      </w:r>
      <w:r>
        <w:rPr>
          <w:rFonts w:ascii="Times New Roman" w:hAnsi="Times New Roman"/>
          <w:lang w:val="en-GB"/>
        </w:rPr>
        <w:t xml:space="preserve">. An important source of loss of availability through time is the concentration of ROS </w:t>
      </w:r>
      <w:r>
        <w:rPr>
          <w:rFonts w:ascii="Times New Roman" w:hAnsi="Times New Roman"/>
          <w:lang w:val="en-GB"/>
        </w:rPr>
        <w:lastRenderedPageBreak/>
        <w:t>(reactive oxygen species), augmented by high temperature, moisture and O</w:t>
      </w:r>
      <w:r>
        <w:rPr>
          <w:rFonts w:ascii="Times New Roman" w:hAnsi="Times New Roman"/>
          <w:vertAlign w:val="subscript"/>
          <w:lang w:val="en-GB"/>
        </w:rPr>
        <w:t>2</w:t>
      </w:r>
      <w:r>
        <w:rPr>
          <w:rFonts w:ascii="Times New Roman" w:hAnsi="Times New Roman"/>
          <w:lang w:val="en-GB"/>
        </w:rPr>
        <w:t xml:space="preserve"> </w:t>
      </w:r>
      <w:r w:rsidRPr="004A4C1C">
        <w:rPr>
          <w:rFonts w:ascii="Times New Roman" w:hAnsi="Times New Roman"/>
          <w:lang w:val="en-GB"/>
        </w:rPr>
        <w:t>(Bailly, 2004)</w:t>
      </w:r>
      <w:r>
        <w:rPr>
          <w:rFonts w:ascii="Times New Roman" w:hAnsi="Times New Roman"/>
          <w:lang w:val="en-GB"/>
        </w:rPr>
        <w:t xml:space="preserve">. These radicals are able to damage the macromolecules, among which the nuclear DNA, especially in combination with the loss of activity of the antioxidant enzymes, due to ageing. High seed water contents enable enzyme activity and metabolism, but the antioxidant and regeneration mechanisms are not sufficiently active, so ROS can accumulate </w:t>
      </w:r>
      <w:r w:rsidRPr="00AE62F9">
        <w:rPr>
          <w:rFonts w:ascii="Times New Roman" w:hAnsi="Times New Roman"/>
          <w:lang w:val="en-GB"/>
        </w:rPr>
        <w:t>(Bailly, 2004; Tausch et al., 2019)</w:t>
      </w:r>
      <w:r>
        <w:rPr>
          <w:rFonts w:ascii="Times New Roman" w:hAnsi="Times New Roman"/>
          <w:lang w:val="en-GB"/>
        </w:rPr>
        <w:t xml:space="preserve"> and this can explain the effectiveness of the ageing protocol.</w:t>
      </w:r>
    </w:p>
    <w:p w14:paraId="0D3F99F5" w14:textId="77777777" w:rsidR="00CF08B0" w:rsidRDefault="00CF08B0" w:rsidP="00CF08B0">
      <w:pPr>
        <w:spacing w:line="360" w:lineRule="auto"/>
        <w:jc w:val="both"/>
        <w:rPr>
          <w:rFonts w:ascii="Times New Roman" w:hAnsi="Times New Roman"/>
          <w:lang w:val="en-GB"/>
        </w:rPr>
      </w:pPr>
      <w:r>
        <w:rPr>
          <w:rFonts w:ascii="Times New Roman" w:hAnsi="Times New Roman"/>
          <w:lang w:val="en-GB"/>
        </w:rPr>
        <w:t>The aim of the thesis is the investigation of the longevity variation, assuming a role of the microenvironment on the trait, following the known trend according to which seeds from colder environments are shorter-lived. The results presented here confirm that: seeds aged in identical conditions (45°C, 60% RH) have significant differences in longevity both between and within species</w:t>
      </w:r>
      <w:r w:rsidRPr="003D7E40">
        <w:rPr>
          <w:rFonts w:ascii="Times New Roman" w:hAnsi="Times New Roman"/>
          <w:lang w:val="en-GB"/>
        </w:rPr>
        <w:t>, the estimates for p50 ranged between 1,12 and 44,62</w:t>
      </w:r>
      <w:r>
        <w:rPr>
          <w:rFonts w:ascii="Times New Roman" w:hAnsi="Times New Roman"/>
          <w:lang w:val="en-GB"/>
        </w:rPr>
        <w:t xml:space="preserve"> ays. Interestingly, this variation was significantly different when species were grouped depending on their main microhabitat, especially when considering their geographical distribution. In particular, the R analysis reveals a bigger drop in germination percentage (GRP; p=0,016) and germination success (p=0,00556) of the seeds from species with snowbed preference, and the fall is further augmented when taking in consideration both the snowbed preference and the alpine distribution effects, while the bedrock did not have an impact. These results indicate that microenvironmental conditions (snowbed and fellfields species) and life-history (generalist and alpine specialist) may play a significant role as seed longevity drivers and contribute to explain the large variation of seed longevity found across alpine species. The results are consistent with the literature, since seeds from warmer/drier environments are known to be longer-lived </w:t>
      </w:r>
      <w:r w:rsidRPr="00EB518B">
        <w:rPr>
          <w:rFonts w:ascii="Times New Roman" w:hAnsi="Times New Roman"/>
          <w:lang w:val="en-GB"/>
        </w:rPr>
        <w:t>(Probert et al., 2009; Walters et al., 2005)</w:t>
      </w:r>
      <w:r>
        <w:rPr>
          <w:rFonts w:ascii="Times New Roman" w:hAnsi="Times New Roman"/>
          <w:lang w:val="en-GB"/>
        </w:rPr>
        <w:t xml:space="preserve">. The causes are not clear, although this could depend </w:t>
      </w:r>
      <w:r w:rsidRPr="0096020C">
        <w:rPr>
          <w:rFonts w:ascii="Times New Roman" w:hAnsi="Times New Roman"/>
          <w:lang w:val="en-GB"/>
        </w:rPr>
        <w:t>on mass and elevation (Satyanti et al., 2018).</w:t>
      </w:r>
      <w:r>
        <w:rPr>
          <w:rFonts w:ascii="Times New Roman" w:hAnsi="Times New Roman"/>
          <w:lang w:val="en-GB"/>
        </w:rPr>
        <w:t xml:space="preserve"> The selective forces may be the length of growing season </w:t>
      </w:r>
      <w:r w:rsidRPr="00EB518B">
        <w:rPr>
          <w:rFonts w:ascii="Times New Roman" w:hAnsi="Times New Roman"/>
          <w:lang w:val="en-GB"/>
        </w:rPr>
        <w:t>(Seglias, 2022)</w:t>
      </w:r>
      <w:r>
        <w:rPr>
          <w:rFonts w:ascii="Times New Roman" w:hAnsi="Times New Roman"/>
          <w:lang w:val="en-GB"/>
        </w:rPr>
        <w:t xml:space="preserve">: a shorter growing season needs a quicker maturation to be exploited; but also the need, for the species inhabiting drying climate, to survive for sufficient time in the dry state </w:t>
      </w:r>
      <w:r w:rsidRPr="003025FB">
        <w:rPr>
          <w:rFonts w:ascii="Times New Roman" w:hAnsi="Times New Roman"/>
          <w:lang w:val="en-GB"/>
        </w:rPr>
        <w:t>(Probert et al., 2009)</w:t>
      </w:r>
      <w:r>
        <w:rPr>
          <w:rFonts w:ascii="Times New Roman" w:hAnsi="Times New Roman"/>
          <w:lang w:val="en-GB"/>
        </w:rPr>
        <w:t xml:space="preserve">. Consistently </w:t>
      </w:r>
      <w:r w:rsidRPr="00BF489F">
        <w:rPr>
          <w:rFonts w:ascii="Times New Roman" w:hAnsi="Times New Roman"/>
          <w:lang w:val="en-GB"/>
        </w:rPr>
        <w:t xml:space="preserve">Wang et al., </w:t>
      </w:r>
      <w:r>
        <w:rPr>
          <w:rFonts w:ascii="Times New Roman" w:hAnsi="Times New Roman"/>
          <w:lang w:val="en-GB"/>
        </w:rPr>
        <w:t>(</w:t>
      </w:r>
      <w:r w:rsidRPr="00BF489F">
        <w:rPr>
          <w:rFonts w:ascii="Times New Roman" w:hAnsi="Times New Roman"/>
          <w:lang w:val="en-GB"/>
        </w:rPr>
        <w:t>2009</w:t>
      </w:r>
      <w:r>
        <w:rPr>
          <w:rFonts w:ascii="Times New Roman" w:hAnsi="Times New Roman"/>
          <w:lang w:val="en-GB"/>
        </w:rPr>
        <w:t xml:space="preserve">) highlighted that seeds from dryer environments are more resistant, maybe because of they have to persist longer in the soil before conditions became suitable for germination in arid zones. Other not known mechanisms could also result in shorter longevity in storage conditions. </w:t>
      </w:r>
      <w:r w:rsidRPr="00E93BE2">
        <w:rPr>
          <w:rFonts w:ascii="Times New Roman" w:hAnsi="Times New Roman"/>
          <w:lang w:val="en-GB"/>
        </w:rPr>
        <w:t>Also the phylogenetic signal is confirmed to be high (l</w:t>
      </w:r>
      <w:r>
        <w:rPr>
          <w:rFonts w:ascii="Times New Roman" w:hAnsi="Times New Roman"/>
          <w:lang w:val="en-GB"/>
        </w:rPr>
        <w:t xml:space="preserve">ambda=0,63), supporting previous results </w:t>
      </w:r>
      <w:r w:rsidRPr="00E12FFB">
        <w:rPr>
          <w:rFonts w:ascii="Times New Roman" w:hAnsi="Times New Roman"/>
          <w:lang w:val="en-GB"/>
        </w:rPr>
        <w:t>(Mondoni et al., 2011, 2014; Tausch et al., 2019)</w:t>
      </w:r>
      <w:r>
        <w:rPr>
          <w:rFonts w:ascii="Times New Roman" w:hAnsi="Times New Roman"/>
          <w:lang w:val="en-GB"/>
        </w:rPr>
        <w:t xml:space="preserve"> on the genetic dependence of seed resistance to aging. This results also highlight that microhabitats seems colonised by closely related species.</w:t>
      </w:r>
    </w:p>
    <w:p w14:paraId="5C020639" w14:textId="77777777" w:rsidR="00CF08B0" w:rsidRPr="00AB519B" w:rsidRDefault="00CF08B0" w:rsidP="00CF08B0">
      <w:pPr>
        <w:spacing w:line="360" w:lineRule="auto"/>
        <w:ind w:firstLine="709"/>
        <w:jc w:val="both"/>
        <w:outlineLvl w:val="0"/>
        <w:rPr>
          <w:rFonts w:ascii="Times New Roman" w:hAnsi="Times New Roman"/>
          <w:b/>
          <w:bCs/>
          <w:lang w:val="en-GB"/>
        </w:rPr>
      </w:pPr>
      <w:r>
        <w:rPr>
          <w:rFonts w:ascii="Times New Roman" w:hAnsi="Times New Roman"/>
          <w:lang w:val="en-GB"/>
        </w:rPr>
        <w:br w:type="page"/>
      </w:r>
      <w:bookmarkStart w:id="17" w:name="_Toc120029912"/>
      <w:r>
        <w:rPr>
          <w:rFonts w:ascii="Times New Roman" w:hAnsi="Times New Roman"/>
          <w:b/>
          <w:bCs/>
          <w:lang w:val="en-GB"/>
        </w:rPr>
        <w:lastRenderedPageBreak/>
        <w:t>6</w:t>
      </w:r>
      <w:r w:rsidRPr="00AB519B">
        <w:rPr>
          <w:rFonts w:ascii="Times New Roman" w:hAnsi="Times New Roman"/>
          <w:b/>
          <w:bCs/>
          <w:lang w:val="en-GB"/>
        </w:rPr>
        <w:t>. CONCLUSIONS AND PERSPECTIVES</w:t>
      </w:r>
      <w:bookmarkEnd w:id="17"/>
    </w:p>
    <w:p w14:paraId="54B597B7" w14:textId="77777777" w:rsidR="00CF08B0" w:rsidRDefault="00CF08B0" w:rsidP="00CF08B0">
      <w:pPr>
        <w:spacing w:line="360" w:lineRule="auto"/>
        <w:jc w:val="both"/>
        <w:rPr>
          <w:rFonts w:ascii="Times New Roman" w:hAnsi="Times New Roman"/>
          <w:lang w:val="en-GB"/>
        </w:rPr>
      </w:pPr>
      <w:commentRangeStart w:id="18"/>
      <w:r>
        <w:rPr>
          <w:rFonts w:ascii="Times New Roman" w:hAnsi="Times New Roman"/>
          <w:lang w:val="en-GB"/>
        </w:rPr>
        <w:t xml:space="preserve">We take advantage of a little fraction of plants, but this fraction provides essential ecological services </w:t>
      </w:r>
      <w:r w:rsidRPr="00D416D5">
        <w:rPr>
          <w:rFonts w:ascii="Times New Roman" w:hAnsi="Times New Roman"/>
          <w:lang w:val="en-GB"/>
        </w:rPr>
        <w:t>(Smith et al., 2011)</w:t>
      </w:r>
      <w:r>
        <w:rPr>
          <w:rFonts w:ascii="Times New Roman" w:hAnsi="Times New Roman"/>
          <w:lang w:val="en-GB"/>
        </w:rPr>
        <w:t xml:space="preserve">. The importance of the conservation of these species brought to develop procedures to store the seeds, up to hundreds of years </w:t>
      </w:r>
      <w:r w:rsidRPr="0034516E">
        <w:rPr>
          <w:rFonts w:ascii="Times New Roman" w:hAnsi="Times New Roman"/>
          <w:lang w:val="en-GB"/>
        </w:rPr>
        <w:t>(Solberg et al., 2020)</w:t>
      </w:r>
      <w:r>
        <w:rPr>
          <w:rFonts w:ascii="Times New Roman" w:hAnsi="Times New Roman"/>
          <w:lang w:val="en-GB"/>
        </w:rPr>
        <w:t xml:space="preserve">, the ability to remain viable is highly variable. Alpine seeds in particular are very sensible to ageing </w:t>
      </w:r>
      <w:r w:rsidRPr="00F045F1">
        <w:rPr>
          <w:rFonts w:ascii="Times New Roman" w:hAnsi="Times New Roman"/>
          <w:lang w:val="en-GB"/>
        </w:rPr>
        <w:t>(Mondoni et al., 2010)</w:t>
      </w:r>
      <w:r>
        <w:rPr>
          <w:rFonts w:ascii="Times New Roman" w:hAnsi="Times New Roman"/>
          <w:lang w:val="en-GB"/>
        </w:rPr>
        <w:t>, though the variability is, again, high.</w:t>
      </w:r>
      <w:commentRangeEnd w:id="18"/>
      <w:r>
        <w:rPr>
          <w:rStyle w:val="Refdecomentario"/>
          <w:rFonts w:ascii="Calibri" w:eastAsia="Calibri" w:hAnsi="Calibri"/>
        </w:rPr>
        <w:commentReference w:id="18"/>
      </w:r>
    </w:p>
    <w:p w14:paraId="558A2D9B" w14:textId="77777777" w:rsidR="00CF08B0" w:rsidRDefault="00CF08B0" w:rsidP="00CF08B0">
      <w:pPr>
        <w:spacing w:line="360" w:lineRule="auto"/>
        <w:jc w:val="both"/>
        <w:rPr>
          <w:rFonts w:ascii="Times New Roman" w:hAnsi="Times New Roman"/>
          <w:lang w:val="en-GB"/>
        </w:rPr>
      </w:pPr>
      <w:r>
        <w:rPr>
          <w:rFonts w:ascii="Times New Roman" w:hAnsi="Times New Roman"/>
          <w:lang w:val="en-GB"/>
        </w:rPr>
        <w:t xml:space="preserve">Alpine environments are characterised by a certain grade of “roughness” </w:t>
      </w:r>
      <w:r w:rsidRPr="007409F3">
        <w:rPr>
          <w:rFonts w:ascii="Times New Roman" w:hAnsi="Times New Roman"/>
          <w:lang w:val="en-GB"/>
        </w:rPr>
        <w:t>(Körner et al., 2011)</w:t>
      </w:r>
      <w:r>
        <w:rPr>
          <w:rFonts w:ascii="Times New Roman" w:hAnsi="Times New Roman"/>
          <w:lang w:val="en-GB"/>
        </w:rPr>
        <w:t xml:space="preserve">, that creates different habitats in little spaces </w:t>
      </w:r>
      <w:r w:rsidRPr="002D2E05">
        <w:rPr>
          <w:rFonts w:ascii="Times New Roman" w:hAnsi="Times New Roman"/>
          <w:lang w:val="en-GB"/>
        </w:rPr>
        <w:t>(Körner, 2004)</w:t>
      </w:r>
      <w:r>
        <w:rPr>
          <w:rFonts w:ascii="Times New Roman" w:hAnsi="Times New Roman"/>
          <w:lang w:val="en-GB"/>
        </w:rPr>
        <w:t xml:space="preserve">. These microhabitats develop their own microclimate that influences the time that seeds remain viable, according to our results seeds from species with snowbed microhabitat preference (environments with lengthy snow cover and high moisture) have a shorter seed lifespan, as verified through the ageing protocol developed by </w:t>
      </w:r>
      <w:r w:rsidRPr="00FC777A">
        <w:rPr>
          <w:rFonts w:ascii="Times New Roman" w:hAnsi="Times New Roman"/>
          <w:lang w:val="en-GB"/>
        </w:rPr>
        <w:t>Davies et al., 2016</w:t>
      </w:r>
      <w:r>
        <w:rPr>
          <w:rFonts w:ascii="Times New Roman" w:hAnsi="Times New Roman"/>
          <w:lang w:val="en-GB"/>
        </w:rPr>
        <w:t>. The R analysis showed contrasting patterns of loss of viability between snowbed and fellfield seeds, patterns that depend on the ageing time, thus is just the ageing resistance to be influenced by the climatic conditions of provenance.</w:t>
      </w:r>
    </w:p>
    <w:p w14:paraId="31048341" w14:textId="77777777" w:rsidR="00CF08B0" w:rsidRDefault="00CF08B0" w:rsidP="00CF08B0">
      <w:pPr>
        <w:spacing w:line="360" w:lineRule="auto"/>
        <w:jc w:val="both"/>
        <w:rPr>
          <w:rFonts w:ascii="Times New Roman" w:hAnsi="Times New Roman"/>
          <w:lang w:val="en-GB"/>
        </w:rPr>
      </w:pPr>
      <w:r>
        <w:rPr>
          <w:rFonts w:ascii="Times New Roman" w:hAnsi="Times New Roman"/>
          <w:lang w:val="en-GB"/>
        </w:rPr>
        <w:t xml:space="preserve">The physiological causes are not clear: it’s possibly due to oxidation, aggregation of denatured proteins </w:t>
      </w:r>
      <w:r w:rsidRPr="00BD666E">
        <w:rPr>
          <w:rFonts w:ascii="Times New Roman" w:hAnsi="Times New Roman"/>
          <w:lang w:val="en-GB"/>
        </w:rPr>
        <w:t>(Sano et al., 2016)</w:t>
      </w:r>
      <w:r>
        <w:rPr>
          <w:rFonts w:ascii="Times New Roman" w:hAnsi="Times New Roman"/>
          <w:lang w:val="en-GB"/>
        </w:rPr>
        <w:t xml:space="preserve"> and there are indication that lead to think to a strong genetic component </w:t>
      </w:r>
      <w:r w:rsidRPr="00DA4111">
        <w:rPr>
          <w:rFonts w:ascii="Times New Roman" w:hAnsi="Times New Roman"/>
          <w:lang w:val="en-GB"/>
        </w:rPr>
        <w:t>(Rajjou et al., 2008)</w:t>
      </w:r>
      <w:r>
        <w:rPr>
          <w:rFonts w:ascii="Times New Roman" w:hAnsi="Times New Roman"/>
          <w:lang w:val="en-GB"/>
        </w:rPr>
        <w:t xml:space="preserve">. It is commonplace to think the evolution causes could follow the necessity, for the fellfield plants, to endure hotter periods. </w:t>
      </w:r>
      <w:r w:rsidRPr="00BD34B0">
        <w:rPr>
          <w:rFonts w:ascii="Times New Roman" w:hAnsi="Times New Roman"/>
          <w:lang w:val="en-GB"/>
        </w:rPr>
        <w:t xml:space="preserve">In this case a cue comes from </w:t>
      </w:r>
      <w:r w:rsidRPr="0011773E">
        <w:rPr>
          <w:rFonts w:ascii="Times New Roman" w:hAnsi="Times New Roman"/>
          <w:lang w:val="en-GB"/>
        </w:rPr>
        <w:t xml:space="preserve">Prieto-Dapena et al., 2006, which verified that the overexpression of </w:t>
      </w:r>
      <w:r>
        <w:rPr>
          <w:rFonts w:ascii="Times New Roman" w:hAnsi="Times New Roman"/>
          <w:lang w:val="en-GB"/>
        </w:rPr>
        <w:t xml:space="preserve">small </w:t>
      </w:r>
      <w:r w:rsidRPr="0011773E">
        <w:rPr>
          <w:rFonts w:ascii="Times New Roman" w:hAnsi="Times New Roman"/>
          <w:lang w:val="en-GB"/>
        </w:rPr>
        <w:t>heat</w:t>
      </w:r>
      <w:r>
        <w:rPr>
          <w:rFonts w:ascii="Times New Roman" w:hAnsi="Times New Roman"/>
          <w:lang w:val="en-GB"/>
        </w:rPr>
        <w:t xml:space="preserve"> shock proteins genes results in an increase in seed longevity in a controlled deterioration test.</w:t>
      </w:r>
    </w:p>
    <w:p w14:paraId="152C1654" w14:textId="77777777" w:rsidR="00CF08B0" w:rsidRDefault="00CF08B0" w:rsidP="00CF08B0">
      <w:pPr>
        <w:spacing w:line="360" w:lineRule="auto"/>
        <w:jc w:val="both"/>
        <w:rPr>
          <w:rFonts w:ascii="Times New Roman" w:hAnsi="Times New Roman"/>
          <w:lang w:val="en-GB"/>
        </w:rPr>
      </w:pPr>
      <w:r>
        <w:rPr>
          <w:rFonts w:ascii="Times New Roman" w:hAnsi="Times New Roman"/>
          <w:lang w:val="en-GB"/>
        </w:rPr>
        <w:t>The susceptibility to higher temperature has conservation implications in climate warming conditions we are going through: the germination potential loss could be greater from year to year.</w:t>
      </w:r>
    </w:p>
    <w:p w14:paraId="57615374" w14:textId="77777777" w:rsidR="00CF08B0" w:rsidRPr="00E7789D" w:rsidRDefault="00CF08B0" w:rsidP="00CF08B0">
      <w:pPr>
        <w:spacing w:line="360" w:lineRule="auto"/>
        <w:jc w:val="both"/>
        <w:rPr>
          <w:rFonts w:ascii="Times New Roman" w:hAnsi="Times New Roman"/>
          <w:lang w:val="en-GB"/>
        </w:rPr>
      </w:pPr>
      <w:r>
        <w:rPr>
          <w:rFonts w:ascii="Times New Roman" w:hAnsi="Times New Roman"/>
          <w:lang w:val="en-GB"/>
        </w:rPr>
        <w:t xml:space="preserve">Future investigations are needed to find the physiological and evolutive causes of the relation between </w:t>
      </w:r>
      <w:commentRangeStart w:id="19"/>
      <w:r>
        <w:rPr>
          <w:rFonts w:ascii="Times New Roman" w:hAnsi="Times New Roman"/>
          <w:lang w:val="en-GB"/>
        </w:rPr>
        <w:t>availability</w:t>
      </w:r>
      <w:commentRangeEnd w:id="19"/>
      <w:r>
        <w:rPr>
          <w:rStyle w:val="Refdecomentario"/>
          <w:rFonts w:ascii="Calibri" w:eastAsia="Calibri" w:hAnsi="Calibri"/>
        </w:rPr>
        <w:commentReference w:id="19"/>
      </w:r>
      <w:r>
        <w:rPr>
          <w:rFonts w:ascii="Times New Roman" w:hAnsi="Times New Roman"/>
          <w:lang w:val="en-GB"/>
        </w:rPr>
        <w:t xml:space="preserve"> and microniche; the answers to these questions will be the key to the understanding of the phenomenon, thereafter to the development, or expansion, of mitigation proceedings. Surveys will be also important to determine the </w:t>
      </w:r>
      <w:r>
        <w:rPr>
          <w:rFonts w:ascii="Times New Roman" w:hAnsi="Times New Roman"/>
          <w:i/>
          <w:iCs/>
          <w:lang w:val="en-GB"/>
        </w:rPr>
        <w:t>in situ</w:t>
      </w:r>
      <w:r>
        <w:rPr>
          <w:rFonts w:ascii="Times New Roman" w:hAnsi="Times New Roman"/>
          <w:lang w:val="en-GB"/>
        </w:rPr>
        <w:t xml:space="preserve"> meaning of these results, even a quantification of the germination loss through the years and, perhaps, the evidence of a spatial shift of the habitats.</w:t>
      </w:r>
    </w:p>
    <w:p w14:paraId="4BCB7928" w14:textId="77777777" w:rsidR="00CF08B0" w:rsidRPr="00E57FE1" w:rsidRDefault="00CF08B0" w:rsidP="00CF08B0">
      <w:pPr>
        <w:spacing w:line="360" w:lineRule="auto"/>
        <w:jc w:val="both"/>
        <w:rPr>
          <w:rFonts w:ascii="Times New Roman" w:hAnsi="Times New Roman"/>
          <w:lang w:val="en-GB"/>
        </w:rPr>
      </w:pPr>
      <w:r w:rsidRPr="00C558EF">
        <w:rPr>
          <w:rFonts w:ascii="Times New Roman" w:hAnsi="Times New Roman"/>
          <w:color w:val="000000"/>
          <w:lang w:val="en-GB"/>
        </w:rPr>
        <w:t xml:space="preserve">The accelerated ageing protocol doesn’t provide a direct prediction of longevity under gene banking conditions (-20°C; </w:t>
      </w:r>
      <w:r w:rsidRPr="00D065CA">
        <w:rPr>
          <w:rFonts w:ascii="Times New Roman" w:hAnsi="Times New Roman"/>
          <w:lang w:val="en-GB"/>
        </w:rPr>
        <w:t>Merritt et al., 2014)</w:t>
      </w:r>
      <w:r w:rsidRPr="00C558EF">
        <w:rPr>
          <w:rFonts w:ascii="Times New Roman" w:hAnsi="Times New Roman"/>
          <w:color w:val="000000"/>
          <w:lang w:val="en-GB"/>
        </w:rPr>
        <w:t xml:space="preserve">, but it is useful as a comparative approach. These results lead to suggest that the snowbed and alpine specialist species should be tested more frequently than fellfield and generalist to monitor their viability in storage and highlight that species from other habitats, not tested here, may show different patterns. Considering the high </w:t>
      </w:r>
      <w:r w:rsidRPr="00C558EF">
        <w:rPr>
          <w:rFonts w:ascii="Times New Roman" w:hAnsi="Times New Roman"/>
          <w:color w:val="000000"/>
          <w:lang w:val="en-GB"/>
        </w:rPr>
        <w:lastRenderedPageBreak/>
        <w:t xml:space="preserve">species and habitat diversity found in the alpine belt </w:t>
      </w:r>
      <w:r w:rsidRPr="003211CE">
        <w:rPr>
          <w:rFonts w:ascii="Times New Roman" w:hAnsi="Times New Roman"/>
          <w:lang w:val="en-GB"/>
        </w:rPr>
        <w:t>(Körner et al., 2011)</w:t>
      </w:r>
      <w:r w:rsidRPr="00C558EF">
        <w:rPr>
          <w:rFonts w:ascii="Times New Roman" w:hAnsi="Times New Roman"/>
          <w:color w:val="000000"/>
          <w:lang w:val="en-GB"/>
        </w:rPr>
        <w:t xml:space="preserve">, further studies are needed on other microhabitats (e.g. rock, debris, glacier foreland) for a better and more comprehensive understanding of the seed longevity patterns in these extreme environments. </w:t>
      </w:r>
    </w:p>
    <w:p w14:paraId="57F3E293" w14:textId="77777777" w:rsidR="00821280" w:rsidRDefault="00821280" w:rsidP="00CF08B0">
      <w:pPr>
        <w:spacing w:line="360" w:lineRule="auto"/>
        <w:jc w:val="both"/>
        <w:rPr>
          <w:rFonts w:ascii="Times New Roman" w:hAnsi="Times New Roman"/>
          <w:lang w:val="en-GB"/>
        </w:rPr>
      </w:pPr>
    </w:p>
    <w:p w14:paraId="42480296" w14:textId="77777777" w:rsidR="00821280" w:rsidRDefault="00821280" w:rsidP="00821280">
      <w:pPr>
        <w:spacing w:line="360" w:lineRule="auto"/>
        <w:jc w:val="both"/>
        <w:rPr>
          <w:rFonts w:ascii="Times New Roman" w:hAnsi="Times New Roman"/>
          <w:lang w:val="en-GB"/>
        </w:rPr>
      </w:pPr>
    </w:p>
    <w:p w14:paraId="5F97FE85" w14:textId="77777777" w:rsidR="00821280" w:rsidRDefault="00821280" w:rsidP="00821280">
      <w:pPr>
        <w:spacing w:line="360" w:lineRule="auto"/>
        <w:jc w:val="both"/>
        <w:rPr>
          <w:rFonts w:ascii="Times New Roman" w:hAnsi="Times New Roman"/>
          <w:lang w:val="en-GB"/>
        </w:rPr>
      </w:pPr>
    </w:p>
    <w:p w14:paraId="650C1FD6" w14:textId="77777777" w:rsidR="00821280" w:rsidRDefault="00821280" w:rsidP="00F0742A">
      <w:pPr>
        <w:spacing w:line="360" w:lineRule="auto"/>
        <w:jc w:val="both"/>
        <w:rPr>
          <w:rFonts w:ascii="Times New Roman" w:hAnsi="Times New Roman"/>
          <w:lang w:val="en-GB"/>
        </w:rPr>
      </w:pPr>
    </w:p>
    <w:p w14:paraId="1D2E47AF" w14:textId="77777777" w:rsidR="00F0742A" w:rsidRDefault="00F0742A" w:rsidP="00F0742A">
      <w:pPr>
        <w:spacing w:line="360" w:lineRule="auto"/>
        <w:jc w:val="both"/>
        <w:rPr>
          <w:rFonts w:ascii="Times New Roman" w:hAnsi="Times New Roman"/>
          <w:lang w:val="en-GB"/>
        </w:rPr>
      </w:pPr>
    </w:p>
    <w:p w14:paraId="1380D07B" w14:textId="77777777" w:rsidR="00A17D20" w:rsidRDefault="00A17D20">
      <w:pPr>
        <w:rPr>
          <w:lang w:val="en-GB"/>
        </w:rPr>
      </w:pPr>
    </w:p>
    <w:p w14:paraId="4FCAB23C" w14:textId="77777777" w:rsidR="00A17D20" w:rsidRDefault="00A17D20">
      <w:pPr>
        <w:rPr>
          <w:lang w:val="en-GB"/>
        </w:rPr>
      </w:pPr>
    </w:p>
    <w:p w14:paraId="2E248070" w14:textId="77777777" w:rsidR="0009666F" w:rsidRPr="0009666F" w:rsidRDefault="0009666F">
      <w:pPr>
        <w:rPr>
          <w:lang w:val="en-GB"/>
        </w:rPr>
      </w:pPr>
    </w:p>
    <w:sectPr w:rsidR="0009666F" w:rsidRPr="0009666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rea" w:date="2022-11-18T16:46:00Z" w:initials="us">
    <w:p w14:paraId="1D44F0A2" w14:textId="77777777" w:rsidR="00821280" w:rsidRDefault="00821280" w:rsidP="00821280">
      <w:pPr>
        <w:pStyle w:val="Textocomentario"/>
      </w:pPr>
      <w:r>
        <w:rPr>
          <w:rStyle w:val="Refdecomentario"/>
        </w:rPr>
        <w:annotationRef/>
      </w:r>
      <w:r>
        <w:t>DOI: 10.1002/aps3.11493</w:t>
      </w:r>
    </w:p>
  </w:comment>
  <w:comment w:id="2" w:author="Andrea" w:date="2022-11-18T16:53:00Z" w:initials="us">
    <w:p w14:paraId="78D033EA" w14:textId="77777777" w:rsidR="00821280" w:rsidRDefault="00821280" w:rsidP="00821280">
      <w:pPr>
        <w:pStyle w:val="Textocomentario"/>
      </w:pPr>
      <w:r>
        <w:rPr>
          <w:rStyle w:val="Refdecomentario"/>
        </w:rPr>
        <w:annotationRef/>
      </w:r>
      <w:r>
        <w:t>DOI: 10.1002/aps3.11493</w:t>
      </w:r>
    </w:p>
  </w:comment>
  <w:comment w:id="3" w:author="Andrea" w:date="2022-11-18T17:44:00Z" w:initials="us">
    <w:p w14:paraId="666499A2" w14:textId="77777777" w:rsidR="00821280" w:rsidRDefault="00821280" w:rsidP="00821280">
      <w:pPr>
        <w:pStyle w:val="Textocomentario"/>
      </w:pPr>
      <w:r>
        <w:rPr>
          <w:rStyle w:val="Refdecomentario"/>
        </w:rPr>
        <w:annotationRef/>
      </w:r>
      <w:r>
        <w:t>Te ne sei dimenticato!!! Ma è un fattore nelle analisi e un bel risultato!!!</w:t>
      </w:r>
    </w:p>
  </w:comment>
  <w:comment w:id="10" w:author="Cuenta Microsoft" w:date="2022-11-24T11:34:00Z" w:initials="CM">
    <w:p w14:paraId="3C66BEFB" w14:textId="77777777" w:rsidR="00CF08B0" w:rsidRDefault="00CF08B0" w:rsidP="00CF08B0">
      <w:pPr>
        <w:pStyle w:val="Textocomentario"/>
      </w:pPr>
      <w:r>
        <w:rPr>
          <w:rStyle w:val="Refdecomentario"/>
        </w:rPr>
        <w:annotationRef/>
      </w:r>
      <w:r>
        <w:t xml:space="preserve">I think this sentence is missing something. </w:t>
      </w:r>
    </w:p>
  </w:comment>
  <w:comment w:id="12" w:author="Cuenta Microsoft" w:date="2022-11-24T11:35:00Z" w:initials="CM">
    <w:p w14:paraId="4CB988F0" w14:textId="77777777" w:rsidR="00CF08B0" w:rsidRDefault="00CF08B0" w:rsidP="00CF08B0">
      <w:pPr>
        <w:pStyle w:val="Textocomentario"/>
      </w:pPr>
      <w:r>
        <w:rPr>
          <w:rStyle w:val="Refdecomentario"/>
        </w:rPr>
        <w:annotationRef/>
      </w:r>
      <w:r>
        <w:t>I would write the exact number</w:t>
      </w:r>
    </w:p>
  </w:comment>
  <w:comment w:id="13" w:author="Cuenta Microsoft" w:date="2022-11-24T11:35:00Z" w:initials="CM">
    <w:p w14:paraId="04C72C4B" w14:textId="77777777" w:rsidR="00CF08B0" w:rsidRDefault="00CF08B0" w:rsidP="00CF08B0">
      <w:pPr>
        <w:pStyle w:val="Textocomentario"/>
      </w:pPr>
      <w:r>
        <w:rPr>
          <w:rStyle w:val="Refdecomentario"/>
        </w:rPr>
        <w:annotationRef/>
      </w:r>
      <w:r>
        <w:t>I would write the exact number</w:t>
      </w:r>
    </w:p>
  </w:comment>
  <w:comment w:id="14" w:author="Andrea" w:date="2022-11-18T17:58:00Z" w:initials="us">
    <w:p w14:paraId="67FAE933" w14:textId="77777777" w:rsidR="00CF08B0" w:rsidRDefault="00CF08B0" w:rsidP="00CF08B0">
      <w:pPr>
        <w:pStyle w:val="Textocomentario"/>
      </w:pPr>
      <w:r>
        <w:rPr>
          <w:rStyle w:val="Refdecomentario"/>
        </w:rPr>
        <w:annotationRef/>
      </w:r>
      <w:r>
        <w:t>What does exactly mean? Be more esplicit</w:t>
      </w:r>
    </w:p>
  </w:comment>
  <w:comment w:id="15" w:author="Andrea" w:date="2022-11-18T17:59:00Z" w:initials="us">
    <w:p w14:paraId="1FD12CF6" w14:textId="77777777" w:rsidR="00CF08B0" w:rsidRDefault="00CF08B0" w:rsidP="00CF08B0">
      <w:pPr>
        <w:pStyle w:val="Textocomentario"/>
      </w:pPr>
      <w:r>
        <w:rPr>
          <w:rStyle w:val="Refdecomentario"/>
        </w:rPr>
        <w:annotationRef/>
      </w:r>
      <w:r>
        <w:t>It seems ther are no diferenes in the slope, but there are in the initial viability. The last affected seems Pyrenea to me!</w:t>
      </w:r>
    </w:p>
  </w:comment>
  <w:comment w:id="18" w:author="Cuenta Microsoft" w:date="2022-11-24T11:40:00Z" w:initials="CM">
    <w:p w14:paraId="36B68E44" w14:textId="77777777" w:rsidR="00CF08B0" w:rsidRDefault="00CF08B0" w:rsidP="00CF08B0">
      <w:pPr>
        <w:pStyle w:val="Textocomentario"/>
      </w:pPr>
      <w:r>
        <w:rPr>
          <w:rStyle w:val="Refdecomentario"/>
        </w:rPr>
        <w:annotationRef/>
      </w:r>
      <w:r>
        <w:t>I would no repeat this information. Conclusions are ussually short and clear highlighting the main results and their relevance.</w:t>
      </w:r>
    </w:p>
  </w:comment>
  <w:comment w:id="19" w:author="Cuenta Microsoft" w:date="2022-11-24T11:44:00Z" w:initials="CM">
    <w:p w14:paraId="147CA9B0" w14:textId="77777777" w:rsidR="00CF08B0" w:rsidRDefault="00CF08B0" w:rsidP="00CF08B0">
      <w:pPr>
        <w:pStyle w:val="Textocomentario"/>
      </w:pPr>
      <w:r>
        <w:rPr>
          <w:rStyle w:val="Refdecomentario"/>
        </w:rPr>
        <w:annotationRef/>
      </w:r>
      <w:r>
        <w:t>Availability or longevity?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44F0A2" w15:done="0"/>
  <w15:commentEx w15:paraId="78D033EA" w15:done="0"/>
  <w15:commentEx w15:paraId="666499A2" w15:done="0"/>
  <w15:commentEx w15:paraId="3C66BEFB" w15:done="0"/>
  <w15:commentEx w15:paraId="4CB988F0" w15:done="0"/>
  <w15:commentEx w15:paraId="04C72C4B" w15:done="0"/>
  <w15:commentEx w15:paraId="67FAE933" w15:done="0"/>
  <w15:commentEx w15:paraId="1FD12CF6" w15:done="0"/>
  <w15:commentEx w15:paraId="36B68E44" w15:done="0"/>
  <w15:commentEx w15:paraId="147CA9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D6F2C"/>
    <w:multiLevelType w:val="hybridMultilevel"/>
    <w:tmpl w:val="F264B130"/>
    <w:lvl w:ilvl="0" w:tplc="7CA2BFAE">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8F57AA9"/>
    <w:multiLevelType w:val="hybridMultilevel"/>
    <w:tmpl w:val="F5FC5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4172A2"/>
    <w:multiLevelType w:val="hybridMultilevel"/>
    <w:tmpl w:val="F8789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F0BB8"/>
    <w:multiLevelType w:val="hybridMultilevel"/>
    <w:tmpl w:val="7B26F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785FBC"/>
    <w:multiLevelType w:val="hybridMultilevel"/>
    <w:tmpl w:val="12603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C774C8"/>
    <w:multiLevelType w:val="hybridMultilevel"/>
    <w:tmpl w:val="37B46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w15:presenceInfo w15:providerId="None" w15:userId="Andrea"/>
  </w15:person>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3DE"/>
    <w:rsid w:val="0009666F"/>
    <w:rsid w:val="001538F2"/>
    <w:rsid w:val="00821280"/>
    <w:rsid w:val="009D53DE"/>
    <w:rsid w:val="00A17D20"/>
    <w:rsid w:val="00B3018F"/>
    <w:rsid w:val="00CF08B0"/>
    <w:rsid w:val="00ED2D6E"/>
    <w:rsid w:val="00F0742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6662"/>
  <w15:chartTrackingRefBased/>
  <w15:docId w15:val="{BA17D76F-A082-44F5-B8DF-B4B24C19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A17D20"/>
    <w:rPr>
      <w:sz w:val="16"/>
      <w:szCs w:val="16"/>
    </w:rPr>
  </w:style>
  <w:style w:type="paragraph" w:styleId="Textocomentario">
    <w:name w:val="annotation text"/>
    <w:basedOn w:val="Normal"/>
    <w:link w:val="TextocomentarioCar"/>
    <w:uiPriority w:val="99"/>
    <w:unhideWhenUsed/>
    <w:rsid w:val="00A17D20"/>
    <w:pPr>
      <w:spacing w:line="240" w:lineRule="auto"/>
    </w:pPr>
    <w:rPr>
      <w:rFonts w:ascii="Calibri" w:eastAsia="Calibri" w:hAnsi="Calibri" w:cs="Times New Roman"/>
      <w:sz w:val="20"/>
      <w:szCs w:val="20"/>
      <w:lang w:val="it-IT"/>
    </w:rPr>
  </w:style>
  <w:style w:type="character" w:customStyle="1" w:styleId="TextocomentarioCar">
    <w:name w:val="Texto comentario Car"/>
    <w:basedOn w:val="Fuentedeprrafopredeter"/>
    <w:link w:val="Textocomentario"/>
    <w:uiPriority w:val="99"/>
    <w:rsid w:val="00A17D20"/>
    <w:rPr>
      <w:rFonts w:ascii="Calibri" w:eastAsia="Calibri" w:hAnsi="Calibri" w:cs="Times New Roman"/>
      <w:sz w:val="20"/>
      <w:szCs w:val="20"/>
      <w:lang w:val="it-IT"/>
    </w:rPr>
  </w:style>
  <w:style w:type="paragraph" w:styleId="Textodeglobo">
    <w:name w:val="Balloon Text"/>
    <w:basedOn w:val="Normal"/>
    <w:link w:val="TextodegloboCar"/>
    <w:uiPriority w:val="99"/>
    <w:semiHidden/>
    <w:unhideWhenUsed/>
    <w:rsid w:val="00A17D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7D20"/>
    <w:rPr>
      <w:rFonts w:ascii="Segoe UI" w:hAnsi="Segoe UI" w:cs="Segoe UI"/>
      <w:sz w:val="18"/>
      <w:szCs w:val="18"/>
    </w:rPr>
  </w:style>
  <w:style w:type="paragraph" w:styleId="Prrafodelista">
    <w:name w:val="List Paragraph"/>
    <w:basedOn w:val="Normal"/>
    <w:uiPriority w:val="34"/>
    <w:qFormat/>
    <w:rsid w:val="00B3018F"/>
    <w:pPr>
      <w:ind w:left="720"/>
      <w:contextualSpacing/>
    </w:pPr>
  </w:style>
  <w:style w:type="paragraph" w:styleId="Descripcin">
    <w:name w:val="caption"/>
    <w:basedOn w:val="Normal"/>
    <w:next w:val="Normal"/>
    <w:uiPriority w:val="35"/>
    <w:unhideWhenUsed/>
    <w:qFormat/>
    <w:rsid w:val="00821280"/>
    <w:pPr>
      <w:spacing w:after="200" w:line="240" w:lineRule="auto"/>
    </w:pPr>
    <w:rPr>
      <w:rFonts w:ascii="Calibri" w:eastAsia="Calibri" w:hAnsi="Calibri" w:cs="Times New Roman"/>
      <w:i/>
      <w:iCs/>
      <w:color w:val="44546A"/>
      <w:sz w:val="18"/>
      <w:szCs w:val="18"/>
      <w:lang w:val="it-IT"/>
    </w:rPr>
  </w:style>
  <w:style w:type="paragraph" w:styleId="Subttulo">
    <w:name w:val="Subtitle"/>
    <w:basedOn w:val="Normal"/>
    <w:link w:val="SubttuloCar"/>
    <w:qFormat/>
    <w:rsid w:val="00CF08B0"/>
    <w:pPr>
      <w:spacing w:after="0" w:line="240" w:lineRule="auto"/>
      <w:jc w:val="center"/>
    </w:pPr>
    <w:rPr>
      <w:rFonts w:ascii="Times New Roman" w:eastAsia="Times New Roman" w:hAnsi="Times New Roman" w:cs="Times New Roman"/>
      <w:sz w:val="28"/>
      <w:szCs w:val="20"/>
      <w:lang w:val="x-none" w:eastAsia="x-none"/>
    </w:rPr>
  </w:style>
  <w:style w:type="character" w:customStyle="1" w:styleId="SubttuloCar">
    <w:name w:val="Subtítulo Car"/>
    <w:basedOn w:val="Fuentedeprrafopredeter"/>
    <w:link w:val="Subttulo"/>
    <w:rsid w:val="00CF08B0"/>
    <w:rPr>
      <w:rFonts w:ascii="Times New Roman" w:eastAsia="Times New Roman" w:hAnsi="Times New Roman" w:cs="Times New Roman"/>
      <w:sz w:val="2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17</Pages>
  <Words>4517</Words>
  <Characters>25752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2023-10-19T15:17:00Z</dcterms:created>
  <dcterms:modified xsi:type="dcterms:W3CDTF">2023-10-19T16:22:00Z</dcterms:modified>
</cp:coreProperties>
</file>