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3053" w14:textId="77777777" w:rsidR="00DE1A9D" w:rsidRDefault="00000000">
      <w:pPr>
        <w:spacing w:after="40"/>
      </w:pPr>
      <w:r>
        <w:rPr>
          <w:b/>
          <w:bCs/>
          <w:color w:val="1F4E79"/>
        </w:rPr>
        <w:t>FAST SISTEMAS CONSTRUTIVOS</w:t>
      </w:r>
    </w:p>
    <w:p w14:paraId="1F44D6D7" w14:textId="77777777" w:rsidR="00DE1A9D" w:rsidRDefault="00000000">
      <w:pPr>
        <w:pBdr>
          <w:bottom w:val="single" w:sz="12" w:space="0" w:color="1F4E79"/>
        </w:pBdr>
        <w:spacing w:after="200"/>
      </w:pPr>
      <w:r>
        <w:rPr>
          <w:color w:val="595959"/>
          <w:sz w:val="18"/>
          <w:szCs w:val="18"/>
        </w:rPr>
        <w:t>Nota técnica — Desempenho acústico</w:t>
      </w:r>
    </w:p>
    <w:p w14:paraId="2EF2C528" w14:textId="77777777" w:rsidR="00DE1A9D" w:rsidRDefault="00000000">
      <w:pPr>
        <w:pStyle w:val="Ttulo1"/>
        <w:spacing w:after="120"/>
      </w:pPr>
      <w:r>
        <w:rPr>
          <w:b/>
          <w:bCs/>
          <w:color w:val="1F4E79"/>
          <w:sz w:val="30"/>
          <w:szCs w:val="30"/>
        </w:rPr>
        <w:t xml:space="preserve">Isolamento acústico de paredes de </w:t>
      </w:r>
      <w:proofErr w:type="spellStart"/>
      <w:r>
        <w:rPr>
          <w:b/>
          <w:bCs/>
          <w:color w:val="1F4E79"/>
          <w:sz w:val="30"/>
          <w:szCs w:val="30"/>
        </w:rPr>
        <w:t>drywall</w:t>
      </w:r>
      <w:proofErr w:type="spellEnd"/>
      <w:r>
        <w:rPr>
          <w:b/>
          <w:bCs/>
          <w:color w:val="1F4E79"/>
          <w:sz w:val="30"/>
          <w:szCs w:val="30"/>
        </w:rPr>
        <w:t xml:space="preserve"> (dB)</w:t>
      </w:r>
    </w:p>
    <w:p w14:paraId="32825B36" w14:textId="77777777" w:rsidR="00DE1A9D" w:rsidRDefault="00000000">
      <w:pPr>
        <w:spacing w:after="160"/>
      </w:pPr>
      <w:r>
        <w:t xml:space="preserve">O isolamento a sons aéreos de uma parede de </w:t>
      </w:r>
      <w:proofErr w:type="spellStart"/>
      <w:r>
        <w:t>drywall</w:t>
      </w:r>
      <w:proofErr w:type="spellEnd"/>
      <w:r>
        <w:t xml:space="preserve"> não é um valor único: depende da tipologia — número e espessura das chapas, largura do montante, estrutura simples ou dupla e presença de isolante na cavidade. Os valores abaixo são o índice </w:t>
      </w:r>
      <w:proofErr w:type="spellStart"/>
      <w:r>
        <w:t>Rw</w:t>
      </w:r>
      <w:proofErr w:type="spellEnd"/>
      <w:r>
        <w:t xml:space="preserve"> (isolamento a sons aéreos), em decibéis.</w:t>
      </w:r>
    </w:p>
    <w:p w14:paraId="4DF1EBA0" w14:textId="77777777" w:rsidR="00DE1A9D" w:rsidRDefault="00000000">
      <w:pPr>
        <w:pBdr>
          <w:top w:val="single" w:sz="6" w:space="0" w:color="BF9000"/>
          <w:left w:val="single" w:sz="24" w:space="0" w:color="BF9000"/>
          <w:bottom w:val="single" w:sz="6" w:space="0" w:color="BF9000"/>
          <w:right w:val="single" w:sz="6" w:space="0" w:color="BF9000"/>
        </w:pBdr>
        <w:shd w:val="clear" w:color="auto" w:fill="FFF2CC"/>
        <w:spacing w:before="80" w:after="200" w:line="276" w:lineRule="auto"/>
        <w:ind w:left="120" w:right="120"/>
      </w:pPr>
      <w:r>
        <w:rPr>
          <w:b/>
          <w:bCs/>
          <w:color w:val="7F6000"/>
        </w:rPr>
        <w:t xml:space="preserve">Alerta sobre a fonte: </w:t>
      </w:r>
      <w:r>
        <w:rPr>
          <w:color w:val="7F6000"/>
        </w:rPr>
        <w:t>os valores provêm da NBR 15758 na versão presente na base — Projeto de Revisão em Consulta Nacional (MAR/2025), marcado em todas as páginas como “NÃO TEM VALOR NORMATIVO”. Servem como referência de projeto, mas não podem ser citados como exigência normativa vigente. Para uso oficial, utilizar a edição publicada da norma.</w:t>
      </w:r>
    </w:p>
    <w:p w14:paraId="54E93E21" w14:textId="77777777" w:rsidR="00DE1A9D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 xml:space="preserve">Faixas de </w:t>
      </w:r>
      <w:proofErr w:type="spellStart"/>
      <w:r>
        <w:rPr>
          <w:b/>
          <w:bCs/>
          <w:color w:val="1F4E79"/>
          <w:sz w:val="24"/>
          <w:szCs w:val="24"/>
        </w:rPr>
        <w:t>Rw</w:t>
      </w:r>
      <w:proofErr w:type="spellEnd"/>
      <w:r>
        <w:rPr>
          <w:b/>
          <w:bCs/>
          <w:color w:val="1F4E79"/>
          <w:sz w:val="24"/>
          <w:szCs w:val="24"/>
        </w:rPr>
        <w:t xml:space="preserve"> conforme a Tabela 2 da NBR 15758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000"/>
        <w:gridCol w:w="2000"/>
      </w:tblGrid>
      <w:tr w:rsidR="00DE1A9D" w14:paraId="2435A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4C23" w14:textId="77777777" w:rsidR="00DE1A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Tipologia (exemplos reais da Tabela 2)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8D84" w14:textId="77777777" w:rsidR="00DE1A9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sem isolante (dB)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E0A3" w14:textId="77777777" w:rsidR="00DE1A9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 isolante (dB)</w:t>
            </w:r>
          </w:p>
        </w:tc>
      </w:tr>
      <w:tr w:rsidR="00DE1A9D" w14:paraId="66A4F9A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478BC" w14:textId="77777777" w:rsidR="00DE1A9D" w:rsidRDefault="00000000">
            <w:r>
              <w:rPr>
                <w:sz w:val="18"/>
                <w:szCs w:val="18"/>
              </w:rPr>
              <w:t>Estrutura simples — 2 chapas 12,5 mm, montante 48 (a mais simples)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88961" w14:textId="77777777" w:rsidR="00DE1A9D" w:rsidRDefault="00000000">
            <w:pPr>
              <w:jc w:val="center"/>
            </w:pPr>
            <w:r>
              <w:rPr>
                <w:sz w:val="18"/>
                <w:szCs w:val="18"/>
              </w:rPr>
              <w:t>34–36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B3A37" w14:textId="77777777" w:rsidR="00DE1A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42–44</w:t>
            </w:r>
          </w:p>
        </w:tc>
      </w:tr>
      <w:tr w:rsidR="00DE1A9D" w14:paraId="4CB2FB5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9E21E" w14:textId="77777777" w:rsidR="00DE1A9D" w:rsidRDefault="00000000">
            <w:r>
              <w:rPr>
                <w:sz w:val="18"/>
                <w:szCs w:val="18"/>
              </w:rPr>
              <w:t>Estrutura simples — 2 chapas 15 mm, montante 48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48C11" w14:textId="77777777" w:rsidR="00DE1A9D" w:rsidRDefault="00000000">
            <w:pPr>
              <w:jc w:val="center"/>
            </w:pPr>
            <w:r>
              <w:rPr>
                <w:sz w:val="18"/>
                <w:szCs w:val="18"/>
              </w:rPr>
              <w:t>35–37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E229E" w14:textId="77777777" w:rsidR="00DE1A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43–45</w:t>
            </w:r>
          </w:p>
        </w:tc>
      </w:tr>
      <w:tr w:rsidR="00DE1A9D" w14:paraId="3B0ED11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005E8" w14:textId="77777777" w:rsidR="00DE1A9D" w:rsidRDefault="00000000">
            <w:r>
              <w:rPr>
                <w:sz w:val="18"/>
                <w:szCs w:val="18"/>
              </w:rPr>
              <w:t>Estrutura simples — 4 chapas 12,5 mm, montante 70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F4097" w14:textId="77777777" w:rsidR="00DE1A9D" w:rsidRDefault="00000000">
            <w:pPr>
              <w:jc w:val="center"/>
            </w:pPr>
            <w:r>
              <w:rPr>
                <w:sz w:val="18"/>
                <w:szCs w:val="18"/>
              </w:rPr>
              <w:t>44–46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DBA40" w14:textId="77777777" w:rsidR="00DE1A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50–52</w:t>
            </w:r>
          </w:p>
        </w:tc>
      </w:tr>
      <w:tr w:rsidR="00DE1A9D" w14:paraId="1B383BA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9114A" w14:textId="77777777" w:rsidR="00DE1A9D" w:rsidRDefault="00000000">
            <w:r>
              <w:rPr>
                <w:sz w:val="18"/>
                <w:szCs w:val="18"/>
              </w:rPr>
              <w:t>Estrutura simples — 4 chapas 15 mm, montante 90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91B53" w14:textId="77777777" w:rsidR="00DE1A9D" w:rsidRDefault="00000000">
            <w:pPr>
              <w:jc w:val="center"/>
            </w:pPr>
            <w:r>
              <w:rPr>
                <w:sz w:val="18"/>
                <w:szCs w:val="18"/>
              </w:rPr>
              <w:t>46–48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A1804" w14:textId="77777777" w:rsidR="00DE1A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54–56</w:t>
            </w:r>
          </w:p>
        </w:tc>
      </w:tr>
      <w:tr w:rsidR="00DE1A9D" w14:paraId="2E723A5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451B9" w14:textId="77777777" w:rsidR="00DE1A9D" w:rsidRDefault="00000000">
            <w:r>
              <w:rPr>
                <w:sz w:val="18"/>
                <w:szCs w:val="18"/>
              </w:rPr>
              <w:t>Estrutura dupla (DEC) — 5 chapas 12,5 mm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015ED" w14:textId="77777777" w:rsidR="00DE1A9D" w:rsidRDefault="00000000">
            <w:pPr>
              <w:jc w:val="center"/>
            </w:pPr>
            <w:r>
              <w:rPr>
                <w:sz w:val="18"/>
                <w:szCs w:val="18"/>
              </w:rPr>
              <w:t>48 (LI×2)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5F845" w14:textId="77777777" w:rsidR="00DE1A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55</w:t>
            </w:r>
          </w:p>
        </w:tc>
      </w:tr>
      <w:tr w:rsidR="00DE1A9D" w14:paraId="5216D66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6170A" w14:textId="77777777" w:rsidR="00DE1A9D" w:rsidRDefault="00000000">
            <w:r>
              <w:rPr>
                <w:sz w:val="18"/>
                <w:szCs w:val="18"/>
              </w:rPr>
              <w:t>Estrutura dupla (DEC) — 6 chapas 15 mm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ED43F" w14:textId="77777777" w:rsidR="00DE1A9D" w:rsidRDefault="00000000">
            <w:pPr>
              <w:jc w:val="center"/>
            </w:pPr>
            <w:r>
              <w:rPr>
                <w:sz w:val="18"/>
                <w:szCs w:val="18"/>
              </w:rPr>
              <w:t>48 (LI×2)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120DE" w14:textId="77777777" w:rsidR="00DE1A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60</w:t>
            </w:r>
          </w:p>
        </w:tc>
      </w:tr>
    </w:tbl>
    <w:p w14:paraId="512B89FA" w14:textId="77777777" w:rsidR="00DE1A9D" w:rsidRDefault="00000000">
      <w:pPr>
        <w:spacing w:before="160" w:after="200"/>
      </w:pPr>
      <w:r>
        <w:rPr>
          <w:b/>
          <w:bCs/>
        </w:rPr>
        <w:t xml:space="preserve">Resumo: </w:t>
      </w:r>
      <w:r>
        <w:t xml:space="preserve">de aproximadamente </w:t>
      </w:r>
      <w:r>
        <w:rPr>
          <w:b/>
          <w:bCs/>
        </w:rPr>
        <w:t>34 dB</w:t>
      </w:r>
      <w:r>
        <w:t xml:space="preserve"> (parede mais simples, sem lã) até </w:t>
      </w:r>
      <w:r>
        <w:rPr>
          <w:b/>
          <w:bCs/>
        </w:rPr>
        <w:t>60 dB</w:t>
      </w:r>
      <w:r>
        <w:t xml:space="preserve"> (estrutura dupla com isolamento duplo).</w:t>
      </w:r>
    </w:p>
    <w:p w14:paraId="0E5918E2" w14:textId="77777777" w:rsidR="00DE1A9D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Observações da norma que impactam o valor</w:t>
      </w:r>
    </w:p>
    <w:p w14:paraId="0B1C6082" w14:textId="77777777" w:rsidR="00DE1A9D" w:rsidRDefault="00000000">
      <w:pPr>
        <w:pStyle w:val="PargrafodaLista"/>
        <w:numPr>
          <w:ilvl w:val="0"/>
          <w:numId w:val="1"/>
        </w:numPr>
        <w:spacing w:after="80"/>
      </w:pPr>
      <w:r>
        <w:t>Os resultados com isolante foram obtidos com lã de vidro (NBR 16726) ou lã de PET (NBR 16832); a espessura da lã depende da largura do montante.</w:t>
      </w:r>
    </w:p>
    <w:p w14:paraId="5AAF1CDD" w14:textId="77777777" w:rsidR="00DE1A9D" w:rsidRDefault="00000000">
      <w:pPr>
        <w:pStyle w:val="PargrafodaLista"/>
        <w:numPr>
          <w:ilvl w:val="0"/>
          <w:numId w:val="1"/>
        </w:numPr>
        <w:spacing w:after="80"/>
      </w:pPr>
      <w:r>
        <w:t>Todos os valores pressupõem o uso de banda acústica nos perfis que fazem interface com piso, teto e substrato (item 5.1 h). Sem a banda, o desempenho declarado não é garantido.</w:t>
      </w:r>
    </w:p>
    <w:p w14:paraId="0AF328A0" w14:textId="77777777" w:rsidR="00DE1A9D" w:rsidRDefault="00000000">
      <w:pPr>
        <w:pStyle w:val="PargrafodaLista"/>
        <w:numPr>
          <w:ilvl w:val="0"/>
          <w:numId w:val="1"/>
        </w:numPr>
        <w:spacing w:after="80"/>
      </w:pPr>
      <w:r>
        <w:t>Tipologias marcadas com “b” na norma dependem de confirmação do fabricante (ensaios realizados em estrutura simples).</w:t>
      </w:r>
    </w:p>
    <w:p w14:paraId="2D6A298A" w14:textId="77777777" w:rsidR="00DE1A9D" w:rsidRDefault="00000000">
      <w:pPr>
        <w:pStyle w:val="PargrafodaLista"/>
        <w:numPr>
          <w:ilvl w:val="0"/>
          <w:numId w:val="1"/>
        </w:numPr>
        <w:spacing w:after="80"/>
      </w:pPr>
      <w:r>
        <w:t>“LI×2” indica estrutura dupla com isolante nas duas cavidades; “DEC” e “DEL” são tipologias de estrutura dupla.</w:t>
      </w:r>
    </w:p>
    <w:p w14:paraId="5CC85B70" w14:textId="77777777" w:rsidR="00DE1A9D" w:rsidRDefault="00000000">
      <w:pPr>
        <w:pBdr>
          <w:top w:val="single" w:sz="6" w:space="0" w:color="BFBFBF"/>
        </w:pBdr>
        <w:spacing w:before="320"/>
      </w:pPr>
      <w:r>
        <w:rPr>
          <w:i/>
          <w:iCs/>
          <w:color w:val="595959"/>
          <w:sz w:val="16"/>
          <w:szCs w:val="16"/>
        </w:rPr>
        <w:t>Fonte: ABNT NBR 15758 (Projeto de Revisão em Consulta Nacional, mar/2025) — Tabela 2. Documento gerado para apoio técnico interno.</w:t>
      </w:r>
    </w:p>
    <w:sectPr w:rsidR="00DE1A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73223"/>
    <w:multiLevelType w:val="hybridMultilevel"/>
    <w:tmpl w:val="F77E5BA6"/>
    <w:lvl w:ilvl="0" w:tplc="59101384">
      <w:start w:val="1"/>
      <w:numFmt w:val="bullet"/>
      <w:lvlText w:val="●"/>
      <w:lvlJc w:val="left"/>
      <w:pPr>
        <w:ind w:left="720" w:hanging="360"/>
      </w:pPr>
    </w:lvl>
    <w:lvl w:ilvl="1" w:tplc="35DEE114">
      <w:start w:val="1"/>
      <w:numFmt w:val="bullet"/>
      <w:lvlText w:val="○"/>
      <w:lvlJc w:val="left"/>
      <w:pPr>
        <w:ind w:left="1440" w:hanging="360"/>
      </w:pPr>
    </w:lvl>
    <w:lvl w:ilvl="2" w:tplc="583663BA">
      <w:start w:val="1"/>
      <w:numFmt w:val="bullet"/>
      <w:lvlText w:val="■"/>
      <w:lvlJc w:val="left"/>
      <w:pPr>
        <w:ind w:left="2160" w:hanging="360"/>
      </w:pPr>
    </w:lvl>
    <w:lvl w:ilvl="3" w:tplc="4EE2BCB2">
      <w:start w:val="1"/>
      <w:numFmt w:val="bullet"/>
      <w:lvlText w:val="●"/>
      <w:lvlJc w:val="left"/>
      <w:pPr>
        <w:ind w:left="2880" w:hanging="360"/>
      </w:pPr>
    </w:lvl>
    <w:lvl w:ilvl="4" w:tplc="80FCD7E8">
      <w:start w:val="1"/>
      <w:numFmt w:val="bullet"/>
      <w:lvlText w:val="○"/>
      <w:lvlJc w:val="left"/>
      <w:pPr>
        <w:ind w:left="3600" w:hanging="360"/>
      </w:pPr>
    </w:lvl>
    <w:lvl w:ilvl="5" w:tplc="618A5C02">
      <w:start w:val="1"/>
      <w:numFmt w:val="bullet"/>
      <w:lvlText w:val="■"/>
      <w:lvlJc w:val="left"/>
      <w:pPr>
        <w:ind w:left="4320" w:hanging="360"/>
      </w:pPr>
    </w:lvl>
    <w:lvl w:ilvl="6" w:tplc="34F05440">
      <w:start w:val="1"/>
      <w:numFmt w:val="bullet"/>
      <w:lvlText w:val="●"/>
      <w:lvlJc w:val="left"/>
      <w:pPr>
        <w:ind w:left="5040" w:hanging="360"/>
      </w:pPr>
    </w:lvl>
    <w:lvl w:ilvl="7" w:tplc="A98865DC">
      <w:start w:val="1"/>
      <w:numFmt w:val="bullet"/>
      <w:lvlText w:val="●"/>
      <w:lvlJc w:val="left"/>
      <w:pPr>
        <w:ind w:left="5760" w:hanging="360"/>
      </w:pPr>
    </w:lvl>
    <w:lvl w:ilvl="8" w:tplc="1D127EB2">
      <w:start w:val="1"/>
      <w:numFmt w:val="bullet"/>
      <w:lvlText w:val="●"/>
      <w:lvlJc w:val="left"/>
      <w:pPr>
        <w:ind w:left="6480" w:hanging="360"/>
      </w:pPr>
    </w:lvl>
  </w:abstractNum>
  <w:num w:numId="1" w16cid:durableId="2137218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9D"/>
    <w:rsid w:val="00253F99"/>
    <w:rsid w:val="00D7216F"/>
    <w:rsid w:val="00DE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98A3"/>
  <w15:docId w15:val="{7FF6304B-0696-454D-91C5-385987E5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Isolamento acústico de paredes de drywall</dc:title>
  <dc:creator>Fast Sistemas Construtivos</dc:creator>
  <cp:lastModifiedBy>Glauco Andrade</cp:lastModifiedBy>
  <cp:revision>2</cp:revision>
  <dcterms:created xsi:type="dcterms:W3CDTF">2026-07-06T19:43:00Z</dcterms:created>
  <dcterms:modified xsi:type="dcterms:W3CDTF">2026-07-06T19:43:00Z</dcterms:modified>
</cp:coreProperties>
</file>