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BF39" w14:textId="77777777" w:rsidR="003225BB" w:rsidRDefault="00000000">
      <w:pPr>
        <w:spacing w:after="40"/>
      </w:pPr>
      <w:r>
        <w:rPr>
          <w:b/>
          <w:bCs/>
          <w:color w:val="1F4E79"/>
        </w:rPr>
        <w:t>FAST SISTEMAS CONSTRUTIVOS</w:t>
      </w:r>
    </w:p>
    <w:p w14:paraId="3DE7DC00" w14:textId="77777777" w:rsidR="003225BB" w:rsidRDefault="00000000">
      <w:pPr>
        <w:pBdr>
          <w:bottom w:val="single" w:sz="12" w:space="0" w:color="1F4E79"/>
        </w:pBdr>
        <w:spacing w:after="200"/>
      </w:pPr>
      <w:r>
        <w:rPr>
          <w:color w:val="595959"/>
          <w:sz w:val="18"/>
          <w:szCs w:val="18"/>
        </w:rPr>
        <w:t>Nota técnica — Resistência ao fogo</w:t>
      </w:r>
    </w:p>
    <w:p w14:paraId="02EFD43B" w14:textId="77777777" w:rsidR="003225BB" w:rsidRDefault="00000000">
      <w:pPr>
        <w:pStyle w:val="Ttulo1"/>
        <w:spacing w:after="120"/>
      </w:pPr>
      <w:r>
        <w:rPr>
          <w:b/>
          <w:bCs/>
          <w:color w:val="1F4E79"/>
          <w:sz w:val="30"/>
          <w:szCs w:val="30"/>
        </w:rPr>
        <w:t>Resistência ao fogo da chapa RF (minutos)</w:t>
      </w:r>
    </w:p>
    <w:p w14:paraId="45AD81F2" w14:textId="77777777" w:rsidR="003225BB" w:rsidRDefault="00000000">
      <w:pPr>
        <w:pBdr>
          <w:top w:val="single" w:sz="6" w:space="0" w:color="C55A11"/>
          <w:left w:val="single" w:sz="24" w:space="0" w:color="C55A11"/>
          <w:bottom w:val="single" w:sz="6" w:space="0" w:color="C55A11"/>
          <w:right w:val="single" w:sz="6" w:space="0" w:color="C55A11"/>
        </w:pBdr>
        <w:shd w:val="clear" w:color="auto" w:fill="FCE4D6"/>
        <w:spacing w:before="80" w:after="200" w:line="276" w:lineRule="auto"/>
        <w:ind w:left="120" w:right="120"/>
      </w:pPr>
      <w:r>
        <w:rPr>
          <w:b/>
          <w:bCs/>
          <w:color w:val="833C00"/>
        </w:rPr>
        <w:t xml:space="preserve">Ponto técnico essencial: </w:t>
      </w:r>
      <w:r>
        <w:rPr>
          <w:color w:val="833C00"/>
        </w:rPr>
        <w:t>a chapa RF, isoladamente, NÃO possui um “tempo de resistência ao fogo” em minutos. A resistência ao fogo (TRRF) é uma propriedade do sistema/parede completo, ensaiado conforme a ABNT NBR 10636, atendendo simultaneamente a isolação, estanqueidade e integridade (Corta-Fogo). A chapa RF é o componente que eleva esse desempenho — não um valor isolado.</w:t>
      </w:r>
    </w:p>
    <w:p w14:paraId="2C5F08B2" w14:textId="77777777" w:rsidR="003225BB" w:rsidRDefault="00000000">
      <w:pPr>
        <w:pStyle w:val="Ttulo2"/>
        <w:spacing w:before="80" w:after="100"/>
      </w:pPr>
      <w:r>
        <w:rPr>
          <w:b/>
          <w:bCs/>
          <w:color w:val="1F4E79"/>
          <w:sz w:val="24"/>
          <w:szCs w:val="24"/>
        </w:rPr>
        <w:t>O que é a chapa RF</w:t>
      </w:r>
    </w:p>
    <w:p w14:paraId="54DD4EBC" w14:textId="77777777" w:rsidR="003225BB" w:rsidRDefault="00000000">
      <w:pPr>
        <w:spacing w:after="200"/>
      </w:pPr>
      <w:r>
        <w:t>Conforme a ABNT NBR 14715 e a NBR 15758 (item 3.6): chapa de gesso com compostos químicos que lhe conferem características especiais de resistência ao fogo, destinada a paredes, forros e revestimentos em áreas secas. Código: RF.</w:t>
      </w:r>
    </w:p>
    <w:p w14:paraId="4922535E" w14:textId="77777777" w:rsidR="003225BB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>TRRF da parede com chapa RF — Tabela 2 da NBR 15758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0"/>
        <w:gridCol w:w="2500"/>
      </w:tblGrid>
      <w:tr w:rsidR="003225BB" w14:paraId="2ECCB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2B85" w14:textId="77777777" w:rsidR="003225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Tipologia da parede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5626" w14:textId="77777777" w:rsidR="003225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TRRF com chapa RF (min)</w:t>
            </w:r>
          </w:p>
        </w:tc>
      </w:tr>
      <w:tr w:rsidR="003225BB" w14:paraId="3CBDA5AB" w14:textId="77777777">
        <w:tblPrEx>
          <w:tblCellMar>
            <w:top w:w="0" w:type="dxa"/>
            <w:bottom w:w="0" w:type="dxa"/>
          </w:tblCellMar>
        </w:tblPrEx>
        <w:tc>
          <w:tcPr>
            <w:tcW w:w="6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12E19" w14:textId="77777777" w:rsidR="003225BB" w:rsidRDefault="00000000">
            <w:r>
              <w:rPr>
                <w:sz w:val="18"/>
                <w:szCs w:val="18"/>
              </w:rPr>
              <w:t>Estrutura simples — 2 chapas 12,5 mm (a mais simples)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2615B" w14:textId="77777777" w:rsidR="003225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</w:tr>
      <w:tr w:rsidR="003225BB" w14:paraId="4532F658" w14:textId="77777777">
        <w:tblPrEx>
          <w:tblCellMar>
            <w:top w:w="0" w:type="dxa"/>
            <w:bottom w:w="0" w:type="dxa"/>
          </w:tblCellMar>
        </w:tblPrEx>
        <w:tc>
          <w:tcPr>
            <w:tcW w:w="61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96125" w14:textId="77777777" w:rsidR="003225BB" w:rsidRDefault="00000000">
            <w:r>
              <w:rPr>
                <w:sz w:val="18"/>
                <w:szCs w:val="18"/>
              </w:rPr>
              <w:t>Estrutura simples — 2 chapas 15 mm</w:t>
            </w:r>
          </w:p>
        </w:tc>
        <w:tc>
          <w:tcPr>
            <w:tcW w:w="25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0A1FA" w14:textId="77777777" w:rsidR="003225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60</w:t>
            </w:r>
          </w:p>
        </w:tc>
      </w:tr>
      <w:tr w:rsidR="003225BB" w14:paraId="2A8D39C9" w14:textId="77777777">
        <w:tblPrEx>
          <w:tblCellMar>
            <w:top w:w="0" w:type="dxa"/>
            <w:bottom w:w="0" w:type="dxa"/>
          </w:tblCellMar>
        </w:tblPrEx>
        <w:tc>
          <w:tcPr>
            <w:tcW w:w="61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177FE" w14:textId="77777777" w:rsidR="003225BB" w:rsidRDefault="00000000">
            <w:r>
              <w:rPr>
                <w:sz w:val="18"/>
                <w:szCs w:val="18"/>
              </w:rPr>
              <w:t>Estrutura simples — 4 chapas 12,5 mm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525F0" w14:textId="77777777" w:rsidR="003225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90</w:t>
            </w:r>
          </w:p>
        </w:tc>
      </w:tr>
      <w:tr w:rsidR="003225BB" w14:paraId="5B7F876E" w14:textId="77777777">
        <w:tblPrEx>
          <w:tblCellMar>
            <w:top w:w="0" w:type="dxa"/>
            <w:bottom w:w="0" w:type="dxa"/>
          </w:tblCellMar>
        </w:tblPrEx>
        <w:tc>
          <w:tcPr>
            <w:tcW w:w="61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EA672" w14:textId="77777777" w:rsidR="003225BB" w:rsidRDefault="00000000">
            <w:r>
              <w:rPr>
                <w:sz w:val="18"/>
                <w:szCs w:val="18"/>
              </w:rPr>
              <w:t>Estrutura simples — 4 chapas 15 mm</w:t>
            </w:r>
          </w:p>
        </w:tc>
        <w:tc>
          <w:tcPr>
            <w:tcW w:w="25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40F67" w14:textId="77777777" w:rsidR="003225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120</w:t>
            </w:r>
          </w:p>
        </w:tc>
      </w:tr>
    </w:tbl>
    <w:p w14:paraId="467B7CD3" w14:textId="77777777" w:rsidR="003225BB" w:rsidRDefault="00000000">
      <w:pPr>
        <w:spacing w:before="160" w:after="200"/>
      </w:pPr>
      <w:r>
        <w:rPr>
          <w:b/>
          <w:bCs/>
        </w:rPr>
        <w:t xml:space="preserve">Resumo: </w:t>
      </w:r>
      <w:r>
        <w:t xml:space="preserve">com chapa RF, o sistema resiste de </w:t>
      </w:r>
      <w:r>
        <w:rPr>
          <w:b/>
          <w:bCs/>
        </w:rPr>
        <w:t>30 a 120 minutos</w:t>
      </w:r>
      <w:r>
        <w:t>, conforme o número e a espessura das chapas. Na mesma tipologia, a coluna “ST ou RU” (chapas comuns) apresenta desempenho igual ou inferior — é exatamente esse ganho que a chapa RF agrega.</w:t>
      </w:r>
    </w:p>
    <w:p w14:paraId="0A7079C8" w14:textId="77777777" w:rsidR="003225BB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>Ressalvas importantes</w:t>
      </w:r>
    </w:p>
    <w:p w14:paraId="17FC99F1" w14:textId="77777777" w:rsidR="003225BB" w:rsidRDefault="00000000">
      <w:pPr>
        <w:pStyle w:val="PargrafodaLista"/>
        <w:numPr>
          <w:ilvl w:val="0"/>
          <w:numId w:val="1"/>
        </w:numPr>
        <w:spacing w:after="80"/>
      </w:pPr>
      <w:r>
        <w:t>Fonte não normativa: os valores vêm da NBR 15758 em Consulta Nacional (MAR/2025), marcada em todas as páginas como “NÃO TEM VALOR NORMATIVO”. Servem como referência de projeto, não como exigência vigente.</w:t>
      </w:r>
    </w:p>
    <w:p w14:paraId="50AA7370" w14:textId="77777777" w:rsidR="003225BB" w:rsidRDefault="00000000">
      <w:pPr>
        <w:pStyle w:val="PargrafodaLista"/>
        <w:numPr>
          <w:ilvl w:val="0"/>
          <w:numId w:val="1"/>
        </w:numPr>
        <w:spacing w:after="80"/>
      </w:pPr>
      <w:r>
        <w:t>O TRRF declarado só se sustenta com a tipologia completa exatamente como ensaiada (chapas, montante, fixações). Trocar componentes invalida o valor.</w:t>
      </w:r>
    </w:p>
    <w:p w14:paraId="361B7511" w14:textId="77777777" w:rsidR="003225BB" w:rsidRDefault="00000000">
      <w:pPr>
        <w:pStyle w:val="PargrafodaLista"/>
        <w:numPr>
          <w:ilvl w:val="0"/>
          <w:numId w:val="1"/>
        </w:numPr>
        <w:spacing w:after="80"/>
      </w:pPr>
      <w:r>
        <w:t>Para paredes de compartimentação acima de 6,5 m, a norma exige estruturação por pórticos e atestado do fabricante — o valor de tabela não se aplica diretamente.</w:t>
      </w:r>
    </w:p>
    <w:p w14:paraId="5666DDCC" w14:textId="77777777" w:rsidR="003225BB" w:rsidRDefault="00000000">
      <w:pPr>
        <w:pBdr>
          <w:top w:val="single" w:sz="6" w:space="0" w:color="BFBFBF"/>
        </w:pBdr>
        <w:spacing w:before="320"/>
      </w:pPr>
      <w:r>
        <w:rPr>
          <w:i/>
          <w:iCs/>
          <w:color w:val="595959"/>
          <w:sz w:val="16"/>
          <w:szCs w:val="16"/>
        </w:rPr>
        <w:t>Fontes: ABNT NBR 15758 (Projeto de Revisão em Consulta Nacional, mar/2025) — Tabela 2; ABNT NBR 14715 (2001) — classificação de chapas; ABNT NBR 10636 — método de ensaio de resistência ao fogo. Documento gerado para apoio técnico interno.</w:t>
      </w:r>
    </w:p>
    <w:sectPr w:rsidR="003225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159CD"/>
    <w:multiLevelType w:val="hybridMultilevel"/>
    <w:tmpl w:val="A874FE24"/>
    <w:lvl w:ilvl="0" w:tplc="5FB2BE4C">
      <w:start w:val="1"/>
      <w:numFmt w:val="bullet"/>
      <w:lvlText w:val="●"/>
      <w:lvlJc w:val="left"/>
      <w:pPr>
        <w:ind w:left="720" w:hanging="360"/>
      </w:pPr>
    </w:lvl>
    <w:lvl w:ilvl="1" w:tplc="F45AC852">
      <w:start w:val="1"/>
      <w:numFmt w:val="bullet"/>
      <w:lvlText w:val="○"/>
      <w:lvlJc w:val="left"/>
      <w:pPr>
        <w:ind w:left="1440" w:hanging="360"/>
      </w:pPr>
    </w:lvl>
    <w:lvl w:ilvl="2" w:tplc="74AA1C98">
      <w:start w:val="1"/>
      <w:numFmt w:val="bullet"/>
      <w:lvlText w:val="■"/>
      <w:lvlJc w:val="left"/>
      <w:pPr>
        <w:ind w:left="2160" w:hanging="360"/>
      </w:pPr>
    </w:lvl>
    <w:lvl w:ilvl="3" w:tplc="58EE30D0">
      <w:start w:val="1"/>
      <w:numFmt w:val="bullet"/>
      <w:lvlText w:val="●"/>
      <w:lvlJc w:val="left"/>
      <w:pPr>
        <w:ind w:left="2880" w:hanging="360"/>
      </w:pPr>
    </w:lvl>
    <w:lvl w:ilvl="4" w:tplc="2AD0FB0E">
      <w:start w:val="1"/>
      <w:numFmt w:val="bullet"/>
      <w:lvlText w:val="○"/>
      <w:lvlJc w:val="left"/>
      <w:pPr>
        <w:ind w:left="3600" w:hanging="360"/>
      </w:pPr>
    </w:lvl>
    <w:lvl w:ilvl="5" w:tplc="09600DC8">
      <w:start w:val="1"/>
      <w:numFmt w:val="bullet"/>
      <w:lvlText w:val="■"/>
      <w:lvlJc w:val="left"/>
      <w:pPr>
        <w:ind w:left="4320" w:hanging="360"/>
      </w:pPr>
    </w:lvl>
    <w:lvl w:ilvl="6" w:tplc="0AAEFB90">
      <w:start w:val="1"/>
      <w:numFmt w:val="bullet"/>
      <w:lvlText w:val="●"/>
      <w:lvlJc w:val="left"/>
      <w:pPr>
        <w:ind w:left="5040" w:hanging="360"/>
      </w:pPr>
    </w:lvl>
    <w:lvl w:ilvl="7" w:tplc="66983850">
      <w:start w:val="1"/>
      <w:numFmt w:val="bullet"/>
      <w:lvlText w:val="●"/>
      <w:lvlJc w:val="left"/>
      <w:pPr>
        <w:ind w:left="5760" w:hanging="360"/>
      </w:pPr>
    </w:lvl>
    <w:lvl w:ilvl="8" w:tplc="D368BE1C">
      <w:start w:val="1"/>
      <w:numFmt w:val="bullet"/>
      <w:lvlText w:val="●"/>
      <w:lvlJc w:val="left"/>
      <w:pPr>
        <w:ind w:left="6480" w:hanging="360"/>
      </w:pPr>
    </w:lvl>
  </w:abstractNum>
  <w:num w:numId="1" w16cid:durableId="1116606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5BB"/>
    <w:rsid w:val="003225BB"/>
    <w:rsid w:val="00420E82"/>
    <w:rsid w:val="00A4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0A94"/>
  <w15:docId w15:val="{B19A92AF-7EEA-4DEA-8EB4-05BC95FA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Resistência ao fogo — chapa RF de drywall</dc:title>
  <dc:creator>Fast Sistemas Construtivos</dc:creator>
  <cp:lastModifiedBy>Glauco Andrade</cp:lastModifiedBy>
  <cp:revision>2</cp:revision>
  <dcterms:created xsi:type="dcterms:W3CDTF">2026-07-06T20:07:00Z</dcterms:created>
  <dcterms:modified xsi:type="dcterms:W3CDTF">2026-07-06T20:07:00Z</dcterms:modified>
</cp:coreProperties>
</file>