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F546" w14:textId="3A3DA6DB" w:rsidR="00244220" w:rsidRPr="00244220" w:rsidRDefault="00244220">
      <w:pPr>
        <w:rPr>
          <w:rFonts w:ascii="Arial" w:hAnsi="Arial" w:cs="Arial"/>
          <w:sz w:val="20"/>
          <w:szCs w:val="20"/>
        </w:rPr>
      </w:pPr>
      <w:r w:rsidRPr="00244220">
        <w:rPr>
          <w:rFonts w:ascii="Arial" w:hAnsi="Arial" w:cs="Arial"/>
          <w:sz w:val="20"/>
          <w:szCs w:val="20"/>
        </w:rPr>
        <w:t>MH6822 Regulatory Technology</w:t>
      </w:r>
    </w:p>
    <w:p w14:paraId="170C6E2F" w14:textId="2C89B6FC" w:rsidR="00303651" w:rsidRPr="00244220" w:rsidRDefault="00244220">
      <w:pPr>
        <w:rPr>
          <w:rFonts w:ascii="Arial" w:hAnsi="Arial" w:cs="Arial"/>
          <w:sz w:val="20"/>
          <w:szCs w:val="20"/>
        </w:rPr>
      </w:pPr>
      <w:r w:rsidRPr="00244220">
        <w:rPr>
          <w:rFonts w:ascii="Arial" w:hAnsi="Arial" w:cs="Arial"/>
          <w:sz w:val="20"/>
          <w:szCs w:val="20"/>
        </w:rPr>
        <w:t>One real, named regulated entity with operations in the US and at least one non-US jurisdiction (UK, EU, Singapore, Hong Kong, UAE, Australia, Canada)</w:t>
      </w:r>
    </w:p>
    <w:p w14:paraId="5A246E90" w14:textId="77777777" w:rsidR="00244220" w:rsidRPr="00244220" w:rsidRDefault="00244220">
      <w:pPr>
        <w:rPr>
          <w:rFonts w:ascii="Arial" w:hAnsi="Arial" w:cs="Arial"/>
          <w:sz w:val="20"/>
          <w:szCs w:val="20"/>
        </w:rPr>
      </w:pPr>
    </w:p>
    <w:p w14:paraId="20F5874B" w14:textId="77777777" w:rsidR="00244220" w:rsidRPr="00244220" w:rsidRDefault="00244220" w:rsidP="00244220">
      <w:pPr>
        <w:spacing w:before="180" w:after="80"/>
        <w:rPr>
          <w:rFonts w:ascii="Arial" w:hAnsi="Arial" w:cs="Arial"/>
          <w:b/>
          <w:bCs/>
          <w:sz w:val="20"/>
          <w:szCs w:val="20"/>
        </w:rPr>
      </w:pPr>
      <w:r w:rsidRPr="00244220">
        <w:rPr>
          <w:rFonts w:ascii="Arial" w:eastAsia="Arial" w:hAnsi="Arial" w:cs="Arial"/>
          <w:b/>
          <w:bCs/>
          <w:sz w:val="20"/>
          <w:szCs w:val="20"/>
        </w:rPr>
        <w:t>1. Entity: Julius Baer Group Ltd</w:t>
      </w:r>
    </w:p>
    <w:p w14:paraId="06541A99" w14:textId="77777777" w:rsidR="00244220" w:rsidRPr="00244220" w:rsidRDefault="00244220" w:rsidP="00244220">
      <w:pPr>
        <w:spacing w:before="120" w:after="60"/>
        <w:rPr>
          <w:rFonts w:ascii="Arial" w:hAnsi="Arial" w:cs="Arial"/>
          <w:b/>
          <w:bCs/>
          <w:sz w:val="20"/>
          <w:szCs w:val="20"/>
        </w:rPr>
      </w:pPr>
      <w:r w:rsidRPr="00244220">
        <w:rPr>
          <w:rFonts w:ascii="Arial" w:eastAsia="Arial" w:hAnsi="Arial" w:cs="Arial"/>
          <w:b/>
          <w:bCs/>
          <w:sz w:val="20"/>
          <w:szCs w:val="20"/>
        </w:rPr>
        <w:t>1.1 Overview</w:t>
      </w:r>
    </w:p>
    <w:p w14:paraId="638D0498" w14:textId="77777777" w:rsidR="00244220" w:rsidRPr="00244220" w:rsidRDefault="00244220" w:rsidP="00244220">
      <w:pPr>
        <w:spacing w:before="60" w:after="60"/>
        <w:rPr>
          <w:rFonts w:ascii="Arial" w:hAnsi="Arial" w:cs="Arial"/>
          <w:sz w:val="20"/>
          <w:szCs w:val="20"/>
        </w:rPr>
      </w:pPr>
      <w:r w:rsidRPr="00244220">
        <w:rPr>
          <w:rFonts w:ascii="Arial" w:eastAsia="Arial" w:hAnsi="Arial" w:cs="Arial"/>
          <w:sz w:val="20"/>
          <w:szCs w:val="20"/>
        </w:rPr>
        <w:t>Julius Baer Group Ltd is a pure-play private wealth manager headquartered in Zurich, Switzerland, with approximately CHF 460 billion in assets under management (Julius Baer, 2024a). Founded in 1890, it is one of Switzerland's oldest and largest privately focused banks, serving exclusively high-net-worth and ultra-high-net-worth individuals. Julius Baer operates in over 25 locations globally, with major booking centres in Singapore and Hong Kong serving its Asian client base, and a US presence through Julius Baer Wealth Management LLC subject to US federal oversight (Julius Baer, 2024b; FinCEN, 2016). The bank is listed on the SIX Swiss Exchange (ticker: BAER).</w:t>
      </w:r>
    </w:p>
    <w:p w14:paraId="33F63115" w14:textId="77777777" w:rsidR="00244220" w:rsidRPr="00244220" w:rsidRDefault="00244220" w:rsidP="00244220">
      <w:pPr>
        <w:spacing w:before="60" w:after="60"/>
        <w:rPr>
          <w:rFonts w:ascii="Arial" w:hAnsi="Arial" w:cs="Arial"/>
          <w:sz w:val="20"/>
          <w:szCs w:val="20"/>
        </w:rPr>
      </w:pPr>
    </w:p>
    <w:p w14:paraId="233104E2" w14:textId="77777777" w:rsidR="009020F2" w:rsidRDefault="009020F2" w:rsidP="00244220">
      <w:pPr>
        <w:spacing w:before="180" w:after="80"/>
        <w:rPr>
          <w:rFonts w:ascii="Arial" w:eastAsia="Arial" w:hAnsi="Arial" w:cs="Arial"/>
          <w:sz w:val="20"/>
          <w:szCs w:val="20"/>
        </w:rPr>
      </w:pPr>
      <w:r w:rsidRPr="009020F2">
        <w:rPr>
          <w:rFonts w:ascii="Arial" w:eastAsia="Arial" w:hAnsi="Arial" w:cs="Arial"/>
          <w:sz w:val="20"/>
          <w:szCs w:val="20"/>
        </w:rPr>
        <w:t xml:space="preserve">Julius Baer was selected for this assignment for two main reasons. First, the bank operates across multiple jurisdictions, including the United States, Singapore, Hong Kong, and Switzerland, making it a suitable example of the regulatory complexity that jurisdiction-aware compliance tools are intended to address. Second, Julius Baer has faced multiple AML-related enforcement actions across different regulators and jurisdictions, providing a realistic and evidence-based case study rather than a purely hypothetical scenario. These enforcement actions point to broader weaknesses in monitoring high-risk client activity across booking centres, which is the same operational challenge that </w:t>
      </w:r>
      <w:proofErr w:type="spellStart"/>
      <w:r w:rsidRPr="009020F2">
        <w:rPr>
          <w:rFonts w:ascii="Arial" w:eastAsia="Arial" w:hAnsi="Arial" w:cs="Arial"/>
          <w:sz w:val="20"/>
          <w:szCs w:val="20"/>
        </w:rPr>
        <w:t>Sentriq</w:t>
      </w:r>
      <w:proofErr w:type="spellEnd"/>
      <w:r w:rsidRPr="009020F2">
        <w:rPr>
          <w:rFonts w:ascii="Arial" w:eastAsia="Arial" w:hAnsi="Arial" w:cs="Arial"/>
          <w:sz w:val="20"/>
          <w:szCs w:val="20"/>
        </w:rPr>
        <w:t xml:space="preserve"> aims to address.</w:t>
      </w:r>
    </w:p>
    <w:p w14:paraId="728B5B3B" w14:textId="77777777" w:rsidR="009020F2" w:rsidRDefault="009020F2" w:rsidP="00244220">
      <w:pPr>
        <w:spacing w:before="180" w:after="80"/>
        <w:rPr>
          <w:rFonts w:ascii="Arial" w:eastAsia="Arial" w:hAnsi="Arial" w:cs="Arial"/>
          <w:sz w:val="20"/>
          <w:szCs w:val="20"/>
        </w:rPr>
      </w:pPr>
    </w:p>
    <w:p w14:paraId="46E3B672" w14:textId="3EF906EC" w:rsidR="00244220" w:rsidRPr="00244220" w:rsidRDefault="00244220" w:rsidP="00244220">
      <w:pPr>
        <w:spacing w:before="180" w:after="80"/>
        <w:rPr>
          <w:rFonts w:ascii="Arial" w:hAnsi="Arial" w:cs="Arial"/>
          <w:b/>
          <w:bCs/>
          <w:sz w:val="20"/>
          <w:szCs w:val="20"/>
        </w:rPr>
      </w:pPr>
      <w:r w:rsidRPr="00244220">
        <w:rPr>
          <w:rFonts w:ascii="Arial" w:eastAsia="Arial" w:hAnsi="Arial" w:cs="Arial"/>
          <w:b/>
          <w:bCs/>
          <w:sz w:val="20"/>
          <w:szCs w:val="20"/>
        </w:rPr>
        <w:t>2. Julius Baer's AML Compliance History</w:t>
      </w:r>
    </w:p>
    <w:p w14:paraId="28DB07DC" w14:textId="77777777" w:rsidR="00244220" w:rsidRPr="00244220" w:rsidRDefault="00244220" w:rsidP="00244220">
      <w:pPr>
        <w:spacing w:before="120" w:after="60"/>
        <w:rPr>
          <w:rFonts w:ascii="Arial" w:hAnsi="Arial" w:cs="Arial"/>
          <w:b/>
          <w:bCs/>
          <w:sz w:val="20"/>
          <w:szCs w:val="20"/>
        </w:rPr>
      </w:pPr>
      <w:r w:rsidRPr="00244220">
        <w:rPr>
          <w:rFonts w:ascii="Arial" w:eastAsia="Arial" w:hAnsi="Arial" w:cs="Arial"/>
          <w:b/>
          <w:bCs/>
          <w:sz w:val="20"/>
          <w:szCs w:val="20"/>
        </w:rPr>
        <w:t>2.1 Overview of Regulatory Actions</w:t>
      </w:r>
    </w:p>
    <w:p w14:paraId="474C29C8" w14:textId="20F18A83" w:rsidR="00244220" w:rsidRDefault="00E9284A" w:rsidP="00244220">
      <w:pPr>
        <w:spacing w:before="60" w:after="60"/>
        <w:rPr>
          <w:rFonts w:ascii="Arial" w:eastAsia="Arial" w:hAnsi="Arial" w:cs="Arial"/>
          <w:sz w:val="20"/>
          <w:szCs w:val="20"/>
        </w:rPr>
      </w:pPr>
      <w:r w:rsidRPr="00E9284A">
        <w:rPr>
          <w:rFonts w:ascii="Arial" w:eastAsia="Arial" w:hAnsi="Arial" w:cs="Arial"/>
          <w:sz w:val="20"/>
          <w:szCs w:val="20"/>
        </w:rPr>
        <w:t>Julius Baer has faced multiple AML enforcement actions from regulators in the United States, Switzerland, Singapore, and the United Kingdom over more than a decade. Across these cases, several common issues were identified, including inadequate monitoring of high-risk clients, failures to escalate suspicious transaction activity, and weaknesses in controls over cross-border financial flows. This enforcement history makes Julius Baer a relevant case study for a jurisdiction-aware AML tool, as the compliance gaps identified by regulators are closely aligned with the monitoring challenges the proposed tool is intended to address.</w:t>
      </w:r>
    </w:p>
    <w:p w14:paraId="6C40B2D3" w14:textId="77777777" w:rsidR="00E9284A" w:rsidRPr="00244220" w:rsidRDefault="00E9284A" w:rsidP="00244220">
      <w:pPr>
        <w:spacing w:before="60" w:after="60"/>
        <w:rPr>
          <w:rFonts w:ascii="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3980"/>
        <w:gridCol w:w="2980"/>
      </w:tblGrid>
      <w:tr w:rsidR="00244220" w:rsidRPr="00244220" w14:paraId="40B787A5" w14:textId="77777777" w:rsidTr="00F86EAD">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EBB758" w14:textId="77777777" w:rsidR="00244220" w:rsidRPr="00244220" w:rsidRDefault="00244220" w:rsidP="00F86EAD">
            <w:pPr>
              <w:rPr>
                <w:rFonts w:ascii="Arial" w:hAnsi="Arial" w:cs="Arial"/>
                <w:sz w:val="20"/>
                <w:szCs w:val="20"/>
              </w:rPr>
            </w:pPr>
            <w:r w:rsidRPr="00244220">
              <w:rPr>
                <w:rFonts w:ascii="Arial" w:eastAsia="Arial" w:hAnsi="Arial" w:cs="Arial"/>
                <w:color w:val="FFFFFF"/>
                <w:sz w:val="20"/>
                <w:szCs w:val="20"/>
              </w:rPr>
              <w:t>Year</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E59512" w14:textId="77777777" w:rsidR="00244220" w:rsidRPr="00244220" w:rsidRDefault="00244220" w:rsidP="00F86EAD">
            <w:pPr>
              <w:rPr>
                <w:rFonts w:ascii="Arial" w:hAnsi="Arial" w:cs="Arial"/>
                <w:sz w:val="20"/>
                <w:szCs w:val="20"/>
              </w:rPr>
            </w:pPr>
            <w:r w:rsidRPr="00244220">
              <w:rPr>
                <w:rFonts w:ascii="Arial" w:eastAsia="Arial" w:hAnsi="Arial" w:cs="Arial"/>
                <w:color w:val="FFFFFF"/>
                <w:sz w:val="20"/>
                <w:szCs w:val="20"/>
              </w:rPr>
              <w:t>Regulator</w:t>
            </w:r>
          </w:p>
        </w:tc>
        <w:tc>
          <w:tcPr>
            <w:tcW w:w="39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948ECF" w14:textId="77777777" w:rsidR="00244220" w:rsidRPr="00244220" w:rsidRDefault="00244220" w:rsidP="00F86EAD">
            <w:pPr>
              <w:rPr>
                <w:rFonts w:ascii="Arial" w:hAnsi="Arial" w:cs="Arial"/>
                <w:sz w:val="20"/>
                <w:szCs w:val="20"/>
              </w:rPr>
            </w:pPr>
            <w:r w:rsidRPr="00244220">
              <w:rPr>
                <w:rFonts w:ascii="Arial" w:eastAsia="Arial" w:hAnsi="Arial" w:cs="Arial"/>
                <w:color w:val="FFFFFF"/>
                <w:sz w:val="20"/>
                <w:szCs w:val="20"/>
              </w:rPr>
              <w:t>Incident</w:t>
            </w:r>
          </w:p>
        </w:tc>
        <w:tc>
          <w:tcPr>
            <w:tcW w:w="29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3768AD" w14:textId="77777777" w:rsidR="00244220" w:rsidRPr="00244220" w:rsidRDefault="00244220" w:rsidP="00F86EAD">
            <w:pPr>
              <w:rPr>
                <w:rFonts w:ascii="Arial" w:hAnsi="Arial" w:cs="Arial"/>
                <w:sz w:val="20"/>
                <w:szCs w:val="20"/>
              </w:rPr>
            </w:pPr>
            <w:r w:rsidRPr="00244220">
              <w:rPr>
                <w:rFonts w:ascii="Arial" w:eastAsia="Arial" w:hAnsi="Arial" w:cs="Arial"/>
                <w:color w:val="FFFFFF"/>
                <w:sz w:val="20"/>
                <w:szCs w:val="20"/>
              </w:rPr>
              <w:t>Outcome</w:t>
            </w:r>
          </w:p>
        </w:tc>
      </w:tr>
      <w:tr w:rsidR="00244220" w:rsidRPr="00244220" w14:paraId="2A27BCBD" w14:textId="77777777" w:rsidTr="00F86EAD">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DB93C4"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2016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0A358"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US DOJ / FinCEN</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711FB"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Assisted US clients in evading federal taxes through undisclosed accounts</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987B4"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USD 547 million — deferred prosecution agreement (US DOJ, 2016)</w:t>
            </w:r>
          </w:p>
        </w:tc>
      </w:tr>
      <w:tr w:rsidR="00244220" w:rsidRPr="00244220" w14:paraId="48033272" w14:textId="77777777" w:rsidTr="00F86EAD">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8068EA"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2020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5B312"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FINMA (Switzerland)</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3A01D"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AML failures related to Venezuelan state oil company PDVSA and FIFA bribery scandal; ban on large acquisitions imposed</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26BEC"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Enhanced supervisory measures; acquisition ban (Vertex Compliance, 2025)</w:t>
            </w:r>
          </w:p>
        </w:tc>
      </w:tr>
      <w:tr w:rsidR="00244220" w:rsidRPr="00244220" w14:paraId="32EFDFA9" w14:textId="77777777" w:rsidTr="00F86EAD">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B3270A"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lastRenderedPageBreak/>
              <w:t>2023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D8C7E"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MAS (Singapore)</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379CA"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AML control failures linked to Singapore's largest-ever money laundering investigation — SGD 3 billion scheme involving 10 Chinese nationals</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4272E"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SGD fines as part of combined SGD 21.5 million penalty across 9 institutions (ACAMS, 2025)</w:t>
            </w:r>
          </w:p>
        </w:tc>
      </w:tr>
      <w:tr w:rsidR="00244220" w:rsidRPr="00244220" w14:paraId="6B1638E3" w14:textId="77777777" w:rsidTr="00F86EAD">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6428F7"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2024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46C04"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FCA (United Kingdom)</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09897"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Lack of integrity in business practices</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AA91C"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GBP 18 million fine — approximately USD 24 million (Vertex Compliance, 2025)</w:t>
            </w:r>
          </w:p>
        </w:tc>
      </w:tr>
      <w:tr w:rsidR="00244220" w:rsidRPr="00244220" w14:paraId="307D361C" w14:textId="77777777" w:rsidTr="00F86EAD">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9152A1"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2024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BC620"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FINMA (Switzerland)</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C9916"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Serious violations of AML regulations — failure to detect or act on suspicious transactions involving Russian and Indian clients from 2009 to 2019; issues identified at Monaco and Singapore branches specifically</w:t>
            </w:r>
          </w:p>
        </w:tc>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9A434" w14:textId="77777777" w:rsidR="00244220" w:rsidRPr="00244220" w:rsidRDefault="00244220" w:rsidP="00F86EAD">
            <w:pPr>
              <w:rPr>
                <w:rFonts w:ascii="Arial" w:hAnsi="Arial" w:cs="Arial"/>
                <w:sz w:val="20"/>
                <w:szCs w:val="20"/>
              </w:rPr>
            </w:pPr>
            <w:r w:rsidRPr="00244220">
              <w:rPr>
                <w:rFonts w:ascii="Arial" w:eastAsia="Arial" w:hAnsi="Arial" w:cs="Arial"/>
                <w:color w:val="000000"/>
                <w:sz w:val="20"/>
                <w:szCs w:val="20"/>
              </w:rPr>
              <w:t>CHF 4.3 million confiscation order (FINMA, 2024; AML Intelligence, 2025)</w:t>
            </w:r>
          </w:p>
        </w:tc>
      </w:tr>
    </w:tbl>
    <w:p w14:paraId="4E919422" w14:textId="77777777" w:rsidR="00244220" w:rsidRPr="00244220" w:rsidRDefault="00244220" w:rsidP="00244220">
      <w:pPr>
        <w:spacing w:before="60" w:after="60"/>
        <w:rPr>
          <w:rFonts w:ascii="Arial" w:hAnsi="Arial" w:cs="Arial"/>
          <w:sz w:val="20"/>
          <w:szCs w:val="20"/>
        </w:rPr>
      </w:pPr>
    </w:p>
    <w:p w14:paraId="41ECAC86" w14:textId="0E4B3D8A" w:rsidR="00244220" w:rsidRPr="00244220" w:rsidRDefault="00244220" w:rsidP="00244220">
      <w:pPr>
        <w:spacing w:before="120" w:after="60"/>
        <w:rPr>
          <w:rFonts w:ascii="Arial" w:hAnsi="Arial" w:cs="Arial"/>
          <w:b/>
          <w:bCs/>
          <w:sz w:val="20"/>
          <w:szCs w:val="20"/>
        </w:rPr>
      </w:pPr>
      <w:r w:rsidRPr="00244220">
        <w:rPr>
          <w:rFonts w:ascii="Arial" w:eastAsia="Arial" w:hAnsi="Arial" w:cs="Arial"/>
          <w:b/>
          <w:bCs/>
          <w:sz w:val="20"/>
          <w:szCs w:val="20"/>
        </w:rPr>
        <w:t xml:space="preserve">2.2 The 2016 US DOJ Settlement </w:t>
      </w:r>
      <w:r w:rsidR="00E9284A">
        <w:rPr>
          <w:rFonts w:ascii="Arial" w:eastAsia="Arial" w:hAnsi="Arial" w:cs="Arial"/>
          <w:b/>
          <w:bCs/>
          <w:sz w:val="20"/>
          <w:szCs w:val="20"/>
        </w:rPr>
        <w:t>(</w:t>
      </w:r>
      <w:r w:rsidRPr="00244220">
        <w:rPr>
          <w:rFonts w:ascii="Arial" w:eastAsia="Arial" w:hAnsi="Arial" w:cs="Arial"/>
          <w:b/>
          <w:bCs/>
          <w:sz w:val="20"/>
          <w:szCs w:val="20"/>
        </w:rPr>
        <w:t>Material US Exposure</w:t>
      </w:r>
      <w:r w:rsidR="00E9284A">
        <w:rPr>
          <w:rFonts w:ascii="Arial" w:eastAsia="Arial" w:hAnsi="Arial" w:cs="Arial"/>
          <w:b/>
          <w:bCs/>
          <w:sz w:val="20"/>
          <w:szCs w:val="20"/>
        </w:rPr>
        <w:t>)</w:t>
      </w:r>
    </w:p>
    <w:p w14:paraId="21A862A0" w14:textId="77777777" w:rsidR="00E9284A" w:rsidRPr="00E9284A" w:rsidRDefault="00E9284A" w:rsidP="00E9284A">
      <w:pPr>
        <w:spacing w:before="60" w:after="60"/>
        <w:rPr>
          <w:rFonts w:ascii="Arial" w:eastAsia="Arial" w:hAnsi="Arial" w:cs="Arial"/>
          <w:sz w:val="20"/>
          <w:szCs w:val="20"/>
        </w:rPr>
      </w:pPr>
      <w:r w:rsidRPr="00E9284A">
        <w:rPr>
          <w:rFonts w:ascii="Arial" w:eastAsia="Arial" w:hAnsi="Arial" w:cs="Arial"/>
          <w:sz w:val="20"/>
          <w:szCs w:val="20"/>
        </w:rPr>
        <w:t>The most significant enforcement action faced by Julius Baer came from the United States Department of Justice (DOJ) in 2016. Julius Baer entered into a deferred prosecution agreement and agreed to pay USD 547 million to resolve allegations that the bank had assisted US clients in concealing assets and income through undeclared Swiss bank accounts, enabling tax evasion (US Department of Justice, 2016).</w:t>
      </w:r>
    </w:p>
    <w:p w14:paraId="2FA37828" w14:textId="15A6E941" w:rsidR="00244220" w:rsidRPr="00E9284A" w:rsidRDefault="00E9284A" w:rsidP="00244220">
      <w:pPr>
        <w:spacing w:before="60" w:after="60"/>
        <w:rPr>
          <w:rFonts w:ascii="Arial" w:eastAsia="Arial" w:hAnsi="Arial" w:cs="Arial"/>
          <w:sz w:val="20"/>
          <w:szCs w:val="20"/>
        </w:rPr>
      </w:pPr>
      <w:r w:rsidRPr="00E9284A">
        <w:rPr>
          <w:rFonts w:ascii="Arial" w:eastAsia="Arial" w:hAnsi="Arial" w:cs="Arial"/>
          <w:sz w:val="20"/>
          <w:szCs w:val="20"/>
        </w:rPr>
        <w:t xml:space="preserve">As part of the settlement, Julius Baer was required to strengthen its compliance framework, cooperate with ongoing DOJ investigations, and enhance its cross-border AML and KYC controls. The size of the penalty highlights the financial and regulatory consequences that can arise when compliance controls are insufficient across multiple </w:t>
      </w:r>
      <w:r w:rsidRPr="00E9284A">
        <w:rPr>
          <w:rFonts w:ascii="Arial" w:eastAsia="Arial" w:hAnsi="Arial" w:cs="Arial"/>
          <w:sz w:val="20"/>
          <w:szCs w:val="20"/>
        </w:rPr>
        <w:t>jurisdictions.</w:t>
      </w:r>
    </w:p>
    <w:p w14:paraId="2D456A74" w14:textId="77777777" w:rsidR="00244220" w:rsidRPr="00244220" w:rsidRDefault="00244220" w:rsidP="00244220">
      <w:pPr>
        <w:spacing w:before="60" w:after="60"/>
        <w:rPr>
          <w:rFonts w:ascii="Arial" w:hAnsi="Arial" w:cs="Arial"/>
          <w:sz w:val="20"/>
          <w:szCs w:val="20"/>
        </w:rPr>
      </w:pPr>
    </w:p>
    <w:p w14:paraId="5B11A866" w14:textId="7DDCC792" w:rsidR="00244220" w:rsidRPr="00244220" w:rsidRDefault="00244220" w:rsidP="00244220">
      <w:pPr>
        <w:spacing w:before="120" w:after="60"/>
        <w:rPr>
          <w:rFonts w:ascii="Arial" w:hAnsi="Arial" w:cs="Arial"/>
          <w:b/>
          <w:bCs/>
          <w:sz w:val="20"/>
          <w:szCs w:val="20"/>
        </w:rPr>
      </w:pPr>
      <w:r w:rsidRPr="00244220">
        <w:rPr>
          <w:rFonts w:ascii="Arial" w:eastAsia="Arial" w:hAnsi="Arial" w:cs="Arial"/>
          <w:b/>
          <w:bCs/>
          <w:sz w:val="20"/>
          <w:szCs w:val="20"/>
        </w:rPr>
        <w:t xml:space="preserve">2.3 The 2023 Singapore MAS Action </w:t>
      </w:r>
      <w:r w:rsidR="00E9284A">
        <w:rPr>
          <w:rFonts w:ascii="Arial" w:eastAsia="Arial" w:hAnsi="Arial" w:cs="Arial"/>
          <w:b/>
          <w:bCs/>
          <w:sz w:val="20"/>
          <w:szCs w:val="20"/>
        </w:rPr>
        <w:t>(</w:t>
      </w:r>
      <w:r w:rsidRPr="00244220">
        <w:rPr>
          <w:rFonts w:ascii="Arial" w:eastAsia="Arial" w:hAnsi="Arial" w:cs="Arial"/>
          <w:b/>
          <w:bCs/>
          <w:sz w:val="20"/>
          <w:szCs w:val="20"/>
        </w:rPr>
        <w:t>Failure at the Singapore Booking Centre</w:t>
      </w:r>
      <w:r w:rsidR="00E9284A">
        <w:rPr>
          <w:rFonts w:ascii="Arial" w:eastAsia="Arial" w:hAnsi="Arial" w:cs="Arial"/>
          <w:b/>
          <w:bCs/>
          <w:sz w:val="20"/>
          <w:szCs w:val="20"/>
        </w:rPr>
        <w:t>)</w:t>
      </w:r>
    </w:p>
    <w:p w14:paraId="67F84B28" w14:textId="77777777" w:rsidR="00E9284A" w:rsidRPr="00E9284A" w:rsidRDefault="00E9284A" w:rsidP="00E9284A">
      <w:pPr>
        <w:spacing w:before="60" w:after="60"/>
        <w:rPr>
          <w:rFonts w:ascii="Arial" w:eastAsia="Arial" w:hAnsi="Arial" w:cs="Arial"/>
          <w:sz w:val="20"/>
          <w:szCs w:val="20"/>
        </w:rPr>
      </w:pPr>
      <w:r w:rsidRPr="00E9284A">
        <w:rPr>
          <w:rFonts w:ascii="Arial" w:eastAsia="Arial" w:hAnsi="Arial" w:cs="Arial"/>
          <w:sz w:val="20"/>
          <w:szCs w:val="20"/>
        </w:rPr>
        <w:t>In 2023 and 2024, the Monetary Authority of Singapore (MAS) imposed fines on Julius Baer as part of a wider SGD 21.5 million enforcement action against nine financial institutions linked to Singapore’s largest money laundering investigation, involving approximately SGD 3 billion connected to illegal online gaming activities (ACAMS, 2025). MAS identified weaknesses in the implementation of AML controls across the affected institutions, including Julius Baer’s Singapore branch.</w:t>
      </w:r>
    </w:p>
    <w:p w14:paraId="3B682DC6" w14:textId="77777777" w:rsidR="00E9284A" w:rsidRPr="00E9284A" w:rsidRDefault="00E9284A" w:rsidP="00E9284A">
      <w:pPr>
        <w:spacing w:before="60" w:after="60"/>
        <w:rPr>
          <w:rFonts w:ascii="Arial" w:eastAsia="Arial" w:hAnsi="Arial" w:cs="Arial"/>
          <w:sz w:val="20"/>
          <w:szCs w:val="20"/>
        </w:rPr>
      </w:pPr>
    </w:p>
    <w:p w14:paraId="0612E571" w14:textId="26B0E284" w:rsidR="00244220" w:rsidRDefault="00E9284A" w:rsidP="00E9284A">
      <w:pPr>
        <w:spacing w:before="60" w:after="60"/>
        <w:rPr>
          <w:rFonts w:ascii="Arial" w:eastAsia="Arial" w:hAnsi="Arial" w:cs="Arial"/>
          <w:sz w:val="20"/>
          <w:szCs w:val="20"/>
        </w:rPr>
      </w:pPr>
      <w:r w:rsidRPr="00E9284A">
        <w:rPr>
          <w:rFonts w:ascii="Arial" w:eastAsia="Arial" w:hAnsi="Arial" w:cs="Arial"/>
          <w:sz w:val="20"/>
          <w:szCs w:val="20"/>
        </w:rPr>
        <w:t xml:space="preserve">This case is particularly relevant to the assignment because Singapore is one of Julius Baer’s key Asian booking centres. The issues highlighted by MAS, especially weaknesses in monitoring high-risk client transactions, reflect the type of operational and cross-jurisdictional monitoring challenges that the proposed </w:t>
      </w:r>
      <w:proofErr w:type="spellStart"/>
      <w:r w:rsidRPr="00E9284A">
        <w:rPr>
          <w:rFonts w:ascii="Arial" w:eastAsia="Arial" w:hAnsi="Arial" w:cs="Arial"/>
          <w:sz w:val="20"/>
          <w:szCs w:val="20"/>
        </w:rPr>
        <w:t>Sentriq</w:t>
      </w:r>
      <w:proofErr w:type="spellEnd"/>
      <w:r w:rsidRPr="00E9284A">
        <w:rPr>
          <w:rFonts w:ascii="Arial" w:eastAsia="Arial" w:hAnsi="Arial" w:cs="Arial"/>
          <w:sz w:val="20"/>
          <w:szCs w:val="20"/>
        </w:rPr>
        <w:t xml:space="preserve"> transaction monitoring tool is intended to address.</w:t>
      </w:r>
    </w:p>
    <w:p w14:paraId="62E69515" w14:textId="77777777" w:rsidR="00E9284A" w:rsidRPr="00244220" w:rsidRDefault="00E9284A" w:rsidP="00E9284A">
      <w:pPr>
        <w:spacing w:before="60" w:after="60"/>
        <w:rPr>
          <w:rFonts w:ascii="Arial" w:hAnsi="Arial" w:cs="Arial"/>
          <w:sz w:val="20"/>
          <w:szCs w:val="20"/>
        </w:rPr>
      </w:pPr>
    </w:p>
    <w:p w14:paraId="1DF8CF1C" w14:textId="17F921C3" w:rsidR="00244220" w:rsidRPr="00244220" w:rsidRDefault="00244220" w:rsidP="00244220">
      <w:pPr>
        <w:spacing w:before="120" w:after="60"/>
        <w:rPr>
          <w:rFonts w:ascii="Arial" w:hAnsi="Arial" w:cs="Arial"/>
          <w:b/>
          <w:bCs/>
          <w:sz w:val="20"/>
          <w:szCs w:val="20"/>
        </w:rPr>
      </w:pPr>
      <w:r w:rsidRPr="00244220">
        <w:rPr>
          <w:rFonts w:ascii="Arial" w:eastAsia="Arial" w:hAnsi="Arial" w:cs="Arial"/>
          <w:b/>
          <w:bCs/>
          <w:sz w:val="20"/>
          <w:szCs w:val="20"/>
        </w:rPr>
        <w:t>2.4 The 2024 FINMA Action</w:t>
      </w:r>
      <w:r w:rsidR="00E9284A">
        <w:rPr>
          <w:rFonts w:ascii="Arial" w:eastAsia="Arial" w:hAnsi="Arial" w:cs="Arial"/>
          <w:b/>
          <w:bCs/>
          <w:sz w:val="20"/>
          <w:szCs w:val="20"/>
        </w:rPr>
        <w:t xml:space="preserve"> (</w:t>
      </w:r>
      <w:r w:rsidRPr="00244220">
        <w:rPr>
          <w:rFonts w:ascii="Arial" w:eastAsia="Arial" w:hAnsi="Arial" w:cs="Arial"/>
          <w:b/>
          <w:bCs/>
          <w:sz w:val="20"/>
          <w:szCs w:val="20"/>
        </w:rPr>
        <w:t>Singapore Branch Specifically Cited</w:t>
      </w:r>
      <w:r w:rsidR="00E9284A">
        <w:rPr>
          <w:rFonts w:ascii="Arial" w:eastAsia="Arial" w:hAnsi="Arial" w:cs="Arial"/>
          <w:b/>
          <w:bCs/>
          <w:sz w:val="20"/>
          <w:szCs w:val="20"/>
        </w:rPr>
        <w:t>)</w:t>
      </w:r>
    </w:p>
    <w:p w14:paraId="03DF0007" w14:textId="77777777" w:rsidR="00E9284A" w:rsidRPr="00E9284A" w:rsidRDefault="00E9284A" w:rsidP="00E9284A">
      <w:pPr>
        <w:spacing w:before="180" w:after="80"/>
        <w:rPr>
          <w:rFonts w:ascii="Arial" w:eastAsia="Arial" w:hAnsi="Arial" w:cs="Arial"/>
          <w:sz w:val="20"/>
          <w:szCs w:val="20"/>
        </w:rPr>
      </w:pPr>
      <w:r w:rsidRPr="00E9284A">
        <w:rPr>
          <w:rFonts w:ascii="Arial" w:eastAsia="Arial" w:hAnsi="Arial" w:cs="Arial"/>
          <w:sz w:val="20"/>
          <w:szCs w:val="20"/>
        </w:rPr>
        <w:t>In November 2024, the Swiss Financial Market Supervisory Authority (FINMA) ordered Julius Baer to forfeit CHF 3 million in profits and pay an additional CHF 1.3 million in associated costs, amounting to a total of CHF 4.3 million, for serious breaches of Swiss AML regulations (FINMA, 2024). The investigation, which covered the period from 2009 to 2019, found that the bank had failed to identify or appropriately escalate suspicious transactions involving high-risk clients, including Russian and Indian counterparties.</w:t>
      </w:r>
    </w:p>
    <w:p w14:paraId="1D10AFB0" w14:textId="77777777" w:rsidR="00E9284A" w:rsidRDefault="00E9284A" w:rsidP="00E9284A">
      <w:pPr>
        <w:spacing w:before="180" w:after="80"/>
        <w:rPr>
          <w:rFonts w:ascii="Arial" w:eastAsia="Arial" w:hAnsi="Arial" w:cs="Arial"/>
          <w:sz w:val="20"/>
          <w:szCs w:val="20"/>
        </w:rPr>
      </w:pPr>
      <w:r w:rsidRPr="00E9284A">
        <w:rPr>
          <w:rFonts w:ascii="Arial" w:eastAsia="Arial" w:hAnsi="Arial" w:cs="Arial"/>
          <w:sz w:val="20"/>
          <w:szCs w:val="20"/>
        </w:rPr>
        <w:lastRenderedPageBreak/>
        <w:t>FINMA also identified weaknesses at Julius Baer’s Singapore and Monaco branches (Private Banker International, 2025). This is particularly relevant to the assignment because the Singapore branch operates under MAS Notice 626 requirements, yet deficiencies were still identified by the Swiss regulator. The case illustrates how AML control weaknesses can extend across multiple jurisdictions and booking centres, reinforcing the need for a jurisdiction-aware monitoring framework.</w:t>
      </w:r>
    </w:p>
    <w:p w14:paraId="0EF214CE" w14:textId="77777777" w:rsidR="00E9284A" w:rsidRPr="00E9284A" w:rsidRDefault="00E9284A" w:rsidP="00E9284A">
      <w:pPr>
        <w:spacing w:before="180" w:after="80"/>
        <w:rPr>
          <w:rFonts w:ascii="Arial" w:eastAsia="Arial" w:hAnsi="Arial" w:cs="Arial"/>
          <w:sz w:val="20"/>
          <w:szCs w:val="20"/>
        </w:rPr>
      </w:pPr>
    </w:p>
    <w:p w14:paraId="26766093" w14:textId="77777777" w:rsidR="00244220" w:rsidRPr="00244220" w:rsidRDefault="00244220" w:rsidP="00244220">
      <w:pPr>
        <w:spacing w:before="180" w:after="80"/>
        <w:rPr>
          <w:rFonts w:ascii="Arial" w:hAnsi="Arial" w:cs="Arial"/>
          <w:b/>
          <w:bCs/>
          <w:sz w:val="20"/>
          <w:szCs w:val="20"/>
        </w:rPr>
      </w:pPr>
      <w:r w:rsidRPr="00244220">
        <w:rPr>
          <w:rFonts w:ascii="Arial" w:eastAsia="Arial" w:hAnsi="Arial" w:cs="Arial"/>
          <w:b/>
          <w:bCs/>
          <w:sz w:val="20"/>
          <w:szCs w:val="20"/>
        </w:rPr>
        <w:t>3. Why Julius Baer's AML History Makes It the Right Entity</w:t>
      </w:r>
    </w:p>
    <w:p w14:paraId="1B70BFAD" w14:textId="77777777" w:rsidR="00E9284A" w:rsidRPr="00E9284A" w:rsidRDefault="00E9284A" w:rsidP="00E9284A">
      <w:pPr>
        <w:spacing w:before="180" w:after="80"/>
        <w:rPr>
          <w:rFonts w:ascii="Arial" w:eastAsia="Arial" w:hAnsi="Arial" w:cs="Arial"/>
          <w:sz w:val="20"/>
          <w:szCs w:val="20"/>
        </w:rPr>
      </w:pPr>
      <w:r w:rsidRPr="00E9284A">
        <w:rPr>
          <w:rFonts w:ascii="Arial" w:eastAsia="Arial" w:hAnsi="Arial" w:cs="Arial"/>
          <w:sz w:val="20"/>
          <w:szCs w:val="20"/>
        </w:rPr>
        <w:t>The enforcement actions discussed above show several recurring weaknesses that are directly relevant to the proposed tool. In each case, the issue was not limited to a single suspicious transaction, but rather broader weaknesses in identifying and escalating suspicious patterns involving high-risk clients across multiple jurisdictions and booking centres. As a private bank serving high-net-worth individuals (HNWIs), Julius Baer manages clients with complex cross-border wealth structures involving offshore entities, trusts, investment vehicles, and multi-currency accounts. This creates monitoring challenges that may not be effectively addressed through standard transaction monitoring systems that apply uniform thresholds across all jurisdictions.</w:t>
      </w:r>
    </w:p>
    <w:p w14:paraId="21B7400B" w14:textId="0E20B234" w:rsidR="00E9284A" w:rsidRPr="00E9284A" w:rsidRDefault="00E9284A" w:rsidP="00E9284A">
      <w:pPr>
        <w:spacing w:before="180" w:after="80"/>
        <w:rPr>
          <w:rFonts w:ascii="Arial" w:eastAsia="Arial" w:hAnsi="Arial" w:cs="Arial"/>
          <w:sz w:val="20"/>
          <w:szCs w:val="20"/>
        </w:rPr>
      </w:pPr>
      <w:r w:rsidRPr="00E9284A">
        <w:rPr>
          <w:rFonts w:ascii="Arial" w:eastAsia="Arial" w:hAnsi="Arial" w:cs="Arial"/>
          <w:sz w:val="20"/>
          <w:szCs w:val="20"/>
        </w:rPr>
        <w:t xml:space="preserve">One particularly relevant finding from the 2024 FINMA action was that Julius Baer failed to follow appropriate PEP escalation procedures and did not adequately report suspicious activities internally to its MLRO (Global Relay Intelligence, 2025). These issues are closely aligned with the objectives of the proposed </w:t>
      </w:r>
      <w:proofErr w:type="spellStart"/>
      <w:r w:rsidRPr="00E9284A">
        <w:rPr>
          <w:rFonts w:ascii="Arial" w:eastAsia="Arial" w:hAnsi="Arial" w:cs="Arial"/>
          <w:sz w:val="20"/>
          <w:szCs w:val="20"/>
        </w:rPr>
        <w:t>Sentriq</w:t>
      </w:r>
      <w:proofErr w:type="spellEnd"/>
      <w:r w:rsidRPr="00E9284A">
        <w:rPr>
          <w:rFonts w:ascii="Arial" w:eastAsia="Arial" w:hAnsi="Arial" w:cs="Arial"/>
          <w:sz w:val="20"/>
          <w:szCs w:val="20"/>
        </w:rPr>
        <w:t xml:space="preserve"> tool, which incorporates jurisdiction-aware monitoring logic, differentiated PEP screening requirements, and structured STR/SAR narrative support to assist escalation and reporting decisions.</w:t>
      </w:r>
    </w:p>
    <w:p w14:paraId="7E6FED0D" w14:textId="77777777" w:rsidR="00E9284A" w:rsidRDefault="00E9284A" w:rsidP="00E9284A">
      <w:pPr>
        <w:spacing w:before="180" w:after="80"/>
        <w:rPr>
          <w:rFonts w:ascii="Arial" w:eastAsia="Arial" w:hAnsi="Arial" w:cs="Arial"/>
          <w:sz w:val="20"/>
          <w:szCs w:val="20"/>
        </w:rPr>
      </w:pPr>
      <w:r w:rsidRPr="00E9284A">
        <w:rPr>
          <w:rFonts w:ascii="Arial" w:eastAsia="Arial" w:hAnsi="Arial" w:cs="Arial"/>
          <w:sz w:val="20"/>
          <w:szCs w:val="20"/>
        </w:rPr>
        <w:t>Julius Baer is also currently undergoing significant leadership and governance changes. Stefan Bollinger became CEO in January 2025, while Noel Quinn, former CEO of HSBC, assumed the role of Chair in May 2025 with a focus on strengthening the bank’s risk management and compliance framework (</w:t>
      </w:r>
      <w:proofErr w:type="spellStart"/>
      <w:r w:rsidRPr="00E9284A">
        <w:rPr>
          <w:rFonts w:ascii="Arial" w:eastAsia="Arial" w:hAnsi="Arial" w:cs="Arial"/>
          <w:sz w:val="20"/>
          <w:szCs w:val="20"/>
        </w:rPr>
        <w:t>Fincrime</w:t>
      </w:r>
      <w:proofErr w:type="spellEnd"/>
      <w:r w:rsidRPr="00E9284A">
        <w:rPr>
          <w:rFonts w:ascii="Arial" w:eastAsia="Arial" w:hAnsi="Arial" w:cs="Arial"/>
          <w:sz w:val="20"/>
          <w:szCs w:val="20"/>
        </w:rPr>
        <w:t xml:space="preserve"> Central, 2025). This broader regulatory and organisational context further supports the relevance of a jurisdiction-aware AML transaction monitoring solution.</w:t>
      </w:r>
    </w:p>
    <w:p w14:paraId="03C6E1CD" w14:textId="77777777" w:rsidR="00E9284A" w:rsidRPr="00E9284A" w:rsidRDefault="00E9284A" w:rsidP="00E9284A">
      <w:pPr>
        <w:spacing w:before="180" w:after="80"/>
        <w:rPr>
          <w:rFonts w:ascii="Arial" w:eastAsia="Arial" w:hAnsi="Arial" w:cs="Arial"/>
          <w:sz w:val="20"/>
          <w:szCs w:val="20"/>
        </w:rPr>
      </w:pPr>
    </w:p>
    <w:p w14:paraId="7E00E427" w14:textId="77777777" w:rsidR="00244220" w:rsidRPr="00244220" w:rsidRDefault="00244220" w:rsidP="00244220">
      <w:pPr>
        <w:spacing w:before="180" w:after="80"/>
      </w:pPr>
      <w:r w:rsidRPr="00244220">
        <w:rPr>
          <w:rFonts w:ascii="Arial" w:eastAsia="Arial" w:hAnsi="Arial" w:cs="Arial"/>
          <w:b/>
          <w:bCs/>
        </w:rPr>
        <w:t>References</w:t>
      </w:r>
    </w:p>
    <w:p w14:paraId="033DA76E" w14:textId="77777777" w:rsidR="00244220" w:rsidRDefault="00244220" w:rsidP="00244220">
      <w:pPr>
        <w:pStyle w:val="ListParagraph"/>
        <w:numPr>
          <w:ilvl w:val="0"/>
          <w:numId w:val="1"/>
        </w:numPr>
        <w:spacing w:before="50" w:after="50" w:line="240" w:lineRule="auto"/>
        <w:contextualSpacing w:val="0"/>
      </w:pPr>
      <w:r>
        <w:rPr>
          <w:rFonts w:ascii="Arial" w:eastAsia="Arial" w:hAnsi="Arial" w:cs="Arial"/>
          <w:sz w:val="18"/>
          <w:szCs w:val="18"/>
        </w:rPr>
        <w:t xml:space="preserve">ACAMS (2025). </w:t>
      </w:r>
      <w:r>
        <w:rPr>
          <w:rFonts w:ascii="Arial" w:eastAsia="Arial" w:hAnsi="Arial" w:cs="Arial"/>
          <w:i/>
          <w:iCs/>
          <w:sz w:val="18"/>
          <w:szCs w:val="18"/>
        </w:rPr>
        <w:t xml:space="preserve">Singapore penalizes Citibank, UBS, and 7 others over USD 2.3 billion money laundering scandal. </w:t>
      </w:r>
      <w:hyperlink r:id="rId7" w:history="1">
        <w:r>
          <w:rPr>
            <w:rFonts w:ascii="Arial" w:eastAsia="Arial" w:hAnsi="Arial" w:cs="Arial"/>
            <w:color w:val="2E75B6"/>
            <w:sz w:val="18"/>
            <w:szCs w:val="18"/>
            <w:u w:val="single"/>
          </w:rPr>
          <w:t>https://www.moneylaundering.com/news/singapore-penalizes-9-financial-firms-over-2-3-billion-money-laundering-scandal/</w:t>
        </w:r>
      </w:hyperlink>
    </w:p>
    <w:p w14:paraId="6F4CD2CB" w14:textId="77777777" w:rsidR="00244220" w:rsidRDefault="00244220" w:rsidP="00244220">
      <w:pPr>
        <w:pStyle w:val="ListParagraph"/>
        <w:numPr>
          <w:ilvl w:val="0"/>
          <w:numId w:val="1"/>
        </w:numPr>
        <w:spacing w:before="50" w:after="50" w:line="240" w:lineRule="auto"/>
        <w:contextualSpacing w:val="0"/>
      </w:pPr>
      <w:r>
        <w:rPr>
          <w:rFonts w:ascii="Arial" w:eastAsia="Arial" w:hAnsi="Arial" w:cs="Arial"/>
          <w:sz w:val="18"/>
          <w:szCs w:val="18"/>
        </w:rPr>
        <w:t xml:space="preserve">AML Intelligence (2025, May 19). </w:t>
      </w:r>
      <w:r>
        <w:rPr>
          <w:rFonts w:ascii="Arial" w:eastAsia="Arial" w:hAnsi="Arial" w:cs="Arial"/>
          <w:i/>
          <w:iCs/>
          <w:sz w:val="18"/>
          <w:szCs w:val="18"/>
        </w:rPr>
        <w:t xml:space="preserve">Julius Baer fined EUR 4.3 million over AML failings including ignoring red flags on high-risk clients. </w:t>
      </w:r>
      <w:hyperlink r:id="rId8" w:history="1">
        <w:r>
          <w:rPr>
            <w:rFonts w:ascii="Arial" w:eastAsia="Arial" w:hAnsi="Arial" w:cs="Arial"/>
            <w:color w:val="2E75B6"/>
            <w:sz w:val="18"/>
            <w:szCs w:val="18"/>
            <w:u w:val="single"/>
          </w:rPr>
          <w:t>https://www.amlintelligence.com/2025/05/news-julius-baer-fined-e4-3m-over-aml-failings-including-ignoring-red-flags-on-high-risk-clients/</w:t>
        </w:r>
      </w:hyperlink>
    </w:p>
    <w:p w14:paraId="713F998D" w14:textId="77777777" w:rsidR="00244220" w:rsidRDefault="00244220" w:rsidP="00244220">
      <w:pPr>
        <w:pStyle w:val="ListParagraph"/>
        <w:numPr>
          <w:ilvl w:val="0"/>
          <w:numId w:val="1"/>
        </w:numPr>
        <w:spacing w:before="50" w:after="50" w:line="240" w:lineRule="auto"/>
        <w:contextualSpacing w:val="0"/>
      </w:pPr>
      <w:r>
        <w:rPr>
          <w:rFonts w:ascii="Arial" w:eastAsia="Arial" w:hAnsi="Arial" w:cs="Arial"/>
          <w:sz w:val="18"/>
          <w:szCs w:val="18"/>
        </w:rPr>
        <w:t xml:space="preserve">Financial Crimes Enforcement Network (FinCEN) (2016). </w:t>
      </w:r>
      <w:r>
        <w:rPr>
          <w:rFonts w:ascii="Arial" w:eastAsia="Arial" w:hAnsi="Arial" w:cs="Arial"/>
          <w:i/>
          <w:iCs/>
          <w:sz w:val="18"/>
          <w:szCs w:val="18"/>
        </w:rPr>
        <w:t xml:space="preserve">Customer due diligence requirements for financial institutions (CDD Rule). </w:t>
      </w:r>
      <w:hyperlink r:id="rId9" w:history="1">
        <w:r>
          <w:rPr>
            <w:rFonts w:ascii="Arial" w:eastAsia="Arial" w:hAnsi="Arial" w:cs="Arial"/>
            <w:color w:val="2E75B6"/>
            <w:sz w:val="18"/>
            <w:szCs w:val="18"/>
            <w:u w:val="single"/>
          </w:rPr>
          <w:t>https://www.fincen.gov/resources/statutes-regulations/rules/customer-due-diligence-requirements-financial-institutions</w:t>
        </w:r>
      </w:hyperlink>
    </w:p>
    <w:p w14:paraId="2FF2A50B" w14:textId="77777777" w:rsidR="00244220" w:rsidRDefault="00244220" w:rsidP="00244220">
      <w:pPr>
        <w:pStyle w:val="ListParagraph"/>
        <w:numPr>
          <w:ilvl w:val="0"/>
          <w:numId w:val="1"/>
        </w:numPr>
        <w:spacing w:before="50" w:after="50" w:line="240" w:lineRule="auto"/>
        <w:contextualSpacing w:val="0"/>
      </w:pPr>
      <w:proofErr w:type="spellStart"/>
      <w:r>
        <w:rPr>
          <w:rFonts w:ascii="Arial" w:eastAsia="Arial" w:hAnsi="Arial" w:cs="Arial"/>
          <w:sz w:val="18"/>
          <w:szCs w:val="18"/>
        </w:rPr>
        <w:t>Fincrime</w:t>
      </w:r>
      <w:proofErr w:type="spellEnd"/>
      <w:r>
        <w:rPr>
          <w:rFonts w:ascii="Arial" w:eastAsia="Arial" w:hAnsi="Arial" w:cs="Arial"/>
          <w:sz w:val="18"/>
          <w:szCs w:val="18"/>
        </w:rPr>
        <w:t xml:space="preserve"> Central (2025). </w:t>
      </w:r>
      <w:r>
        <w:rPr>
          <w:rFonts w:ascii="Arial" w:eastAsia="Arial" w:hAnsi="Arial" w:cs="Arial"/>
          <w:i/>
          <w:iCs/>
          <w:sz w:val="18"/>
          <w:szCs w:val="18"/>
        </w:rPr>
        <w:t xml:space="preserve">Julius Baer hit with USD 5 million fine in damaging money laundering case. </w:t>
      </w:r>
      <w:hyperlink r:id="rId10" w:history="1">
        <w:r>
          <w:rPr>
            <w:rFonts w:ascii="Arial" w:eastAsia="Arial" w:hAnsi="Arial" w:cs="Arial"/>
            <w:color w:val="2E75B6"/>
            <w:sz w:val="18"/>
            <w:szCs w:val="18"/>
            <w:u w:val="single"/>
          </w:rPr>
          <w:t>https://fincrimecentral.com/julius-baer-money-laundering-scandal-5m-fine/</w:t>
        </w:r>
      </w:hyperlink>
    </w:p>
    <w:p w14:paraId="0AB2635A" w14:textId="77777777" w:rsidR="00244220" w:rsidRDefault="00244220" w:rsidP="00244220">
      <w:pPr>
        <w:pStyle w:val="ListParagraph"/>
        <w:numPr>
          <w:ilvl w:val="0"/>
          <w:numId w:val="1"/>
        </w:numPr>
        <w:spacing w:before="50" w:after="50" w:line="240" w:lineRule="auto"/>
        <w:contextualSpacing w:val="0"/>
      </w:pPr>
      <w:r>
        <w:rPr>
          <w:rFonts w:ascii="Arial" w:eastAsia="Arial" w:hAnsi="Arial" w:cs="Arial"/>
          <w:sz w:val="18"/>
          <w:szCs w:val="18"/>
        </w:rPr>
        <w:t xml:space="preserve">Global Relay Intelligence (2025). </w:t>
      </w:r>
      <w:r>
        <w:rPr>
          <w:rFonts w:ascii="Arial" w:eastAsia="Arial" w:hAnsi="Arial" w:cs="Arial"/>
          <w:i/>
          <w:iCs/>
          <w:sz w:val="18"/>
          <w:szCs w:val="18"/>
        </w:rPr>
        <w:t xml:space="preserve">Swiss regulator orders Julius Baer to pay USD 5 million over serious AML violations. </w:t>
      </w:r>
      <w:hyperlink r:id="rId11" w:history="1">
        <w:r>
          <w:rPr>
            <w:rFonts w:ascii="Arial" w:eastAsia="Arial" w:hAnsi="Arial" w:cs="Arial"/>
            <w:color w:val="2E75B6"/>
            <w:sz w:val="18"/>
            <w:szCs w:val="18"/>
            <w:u w:val="single"/>
          </w:rPr>
          <w:t>https://www.grip.globalrelay.com/swiss-regulator-orders-julius-baer-to-pay-5m-over-serious-aml-violations/</w:t>
        </w:r>
      </w:hyperlink>
    </w:p>
    <w:p w14:paraId="789A2AB1" w14:textId="77777777" w:rsidR="00244220" w:rsidRDefault="00244220" w:rsidP="00244220">
      <w:pPr>
        <w:pStyle w:val="ListParagraph"/>
        <w:numPr>
          <w:ilvl w:val="0"/>
          <w:numId w:val="1"/>
        </w:numPr>
        <w:spacing w:before="50" w:after="50" w:line="240" w:lineRule="auto"/>
        <w:contextualSpacing w:val="0"/>
      </w:pPr>
      <w:r>
        <w:rPr>
          <w:rFonts w:ascii="Arial" w:eastAsia="Arial" w:hAnsi="Arial" w:cs="Arial"/>
          <w:sz w:val="18"/>
          <w:szCs w:val="18"/>
        </w:rPr>
        <w:t xml:space="preserve">Julius Baer Group Ltd (2024a). </w:t>
      </w:r>
      <w:r>
        <w:rPr>
          <w:rFonts w:ascii="Arial" w:eastAsia="Arial" w:hAnsi="Arial" w:cs="Arial"/>
          <w:i/>
          <w:iCs/>
          <w:sz w:val="18"/>
          <w:szCs w:val="18"/>
        </w:rPr>
        <w:t xml:space="preserve">Annual Report 2024. </w:t>
      </w:r>
      <w:hyperlink r:id="rId12" w:history="1">
        <w:r>
          <w:rPr>
            <w:rFonts w:ascii="Arial" w:eastAsia="Arial" w:hAnsi="Arial" w:cs="Arial"/>
            <w:color w:val="2E75B6"/>
            <w:sz w:val="18"/>
            <w:szCs w:val="18"/>
            <w:u w:val="single"/>
          </w:rPr>
          <w:t>https://www.juliusbaer.com/en/insights/julius-baer/annual-report/</w:t>
        </w:r>
      </w:hyperlink>
    </w:p>
    <w:p w14:paraId="4D64AE94" w14:textId="77777777" w:rsidR="00244220" w:rsidRDefault="00244220" w:rsidP="00244220">
      <w:pPr>
        <w:pStyle w:val="ListParagraph"/>
        <w:numPr>
          <w:ilvl w:val="0"/>
          <w:numId w:val="1"/>
        </w:numPr>
        <w:spacing w:before="50" w:after="50" w:line="240" w:lineRule="auto"/>
        <w:contextualSpacing w:val="0"/>
      </w:pPr>
      <w:r>
        <w:rPr>
          <w:rFonts w:ascii="Arial" w:eastAsia="Arial" w:hAnsi="Arial" w:cs="Arial"/>
          <w:sz w:val="18"/>
          <w:szCs w:val="18"/>
        </w:rPr>
        <w:t xml:space="preserve">Julius Baer Group Ltd (2024b). </w:t>
      </w:r>
      <w:r>
        <w:rPr>
          <w:rFonts w:ascii="Arial" w:eastAsia="Arial" w:hAnsi="Arial" w:cs="Arial"/>
          <w:i/>
          <w:iCs/>
          <w:sz w:val="18"/>
          <w:szCs w:val="18"/>
        </w:rPr>
        <w:t xml:space="preserve">Julius Baer locations — Singapore and Asia Pacific. </w:t>
      </w:r>
      <w:hyperlink r:id="rId13" w:history="1">
        <w:r>
          <w:rPr>
            <w:rFonts w:ascii="Arial" w:eastAsia="Arial" w:hAnsi="Arial" w:cs="Arial"/>
            <w:color w:val="2E75B6"/>
            <w:sz w:val="18"/>
            <w:szCs w:val="18"/>
            <w:u w:val="single"/>
          </w:rPr>
          <w:t>https://www.juliusbaer.com/en/locations/singapore/</w:t>
        </w:r>
      </w:hyperlink>
    </w:p>
    <w:p w14:paraId="2A8A3B5C" w14:textId="77777777" w:rsidR="00244220" w:rsidRDefault="00244220" w:rsidP="00244220">
      <w:pPr>
        <w:pStyle w:val="ListParagraph"/>
        <w:numPr>
          <w:ilvl w:val="0"/>
          <w:numId w:val="1"/>
        </w:numPr>
        <w:spacing w:before="50" w:after="50" w:line="240" w:lineRule="auto"/>
        <w:contextualSpacing w:val="0"/>
      </w:pPr>
      <w:r>
        <w:rPr>
          <w:rFonts w:ascii="Arial" w:eastAsia="Arial" w:hAnsi="Arial" w:cs="Arial"/>
          <w:sz w:val="18"/>
          <w:szCs w:val="18"/>
        </w:rPr>
        <w:t xml:space="preserve">Monetary Authority of Singapore (2024). </w:t>
      </w:r>
      <w:r>
        <w:rPr>
          <w:rFonts w:ascii="Arial" w:eastAsia="Arial" w:hAnsi="Arial" w:cs="Arial"/>
          <w:i/>
          <w:iCs/>
          <w:sz w:val="18"/>
          <w:szCs w:val="18"/>
        </w:rPr>
        <w:t xml:space="preserve">MAS Notice 626: Prevention of money laundering and countering the financing of terrorism. </w:t>
      </w:r>
      <w:hyperlink r:id="rId14" w:history="1">
        <w:r>
          <w:rPr>
            <w:rFonts w:ascii="Arial" w:eastAsia="Arial" w:hAnsi="Arial" w:cs="Arial"/>
            <w:color w:val="2E75B6"/>
            <w:sz w:val="18"/>
            <w:szCs w:val="18"/>
            <w:u w:val="single"/>
          </w:rPr>
          <w:t>https://www.mas.gov.sg/regulation/notices/notice-626</w:t>
        </w:r>
      </w:hyperlink>
    </w:p>
    <w:p w14:paraId="1413F8DD" w14:textId="77777777" w:rsidR="00244220" w:rsidRDefault="00244220" w:rsidP="00244220">
      <w:pPr>
        <w:pStyle w:val="ListParagraph"/>
        <w:numPr>
          <w:ilvl w:val="0"/>
          <w:numId w:val="1"/>
        </w:numPr>
        <w:spacing w:before="50" w:after="50" w:line="240" w:lineRule="auto"/>
        <w:contextualSpacing w:val="0"/>
      </w:pPr>
      <w:r>
        <w:rPr>
          <w:rFonts w:ascii="Arial" w:eastAsia="Arial" w:hAnsi="Arial" w:cs="Arial"/>
          <w:sz w:val="18"/>
          <w:szCs w:val="18"/>
        </w:rPr>
        <w:lastRenderedPageBreak/>
        <w:t xml:space="preserve">Private Banker International (2025, May 15). </w:t>
      </w:r>
      <w:r>
        <w:rPr>
          <w:rFonts w:ascii="Arial" w:eastAsia="Arial" w:hAnsi="Arial" w:cs="Arial"/>
          <w:i/>
          <w:iCs/>
          <w:sz w:val="18"/>
          <w:szCs w:val="18"/>
        </w:rPr>
        <w:t xml:space="preserve">Julius Baer fined over lapses in AML controls. </w:t>
      </w:r>
      <w:hyperlink r:id="rId15" w:history="1">
        <w:r>
          <w:rPr>
            <w:rFonts w:ascii="Arial" w:eastAsia="Arial" w:hAnsi="Arial" w:cs="Arial"/>
            <w:color w:val="2E75B6"/>
            <w:sz w:val="18"/>
            <w:szCs w:val="18"/>
            <w:u w:val="single"/>
          </w:rPr>
          <w:t>https://finance.yahoo.com/news/julius-baer-fined-over-lapses-134639139.html</w:t>
        </w:r>
      </w:hyperlink>
    </w:p>
    <w:p w14:paraId="5D3EF1DA" w14:textId="77777777" w:rsidR="00244220" w:rsidRDefault="00244220" w:rsidP="00244220">
      <w:pPr>
        <w:pStyle w:val="ListParagraph"/>
        <w:numPr>
          <w:ilvl w:val="0"/>
          <w:numId w:val="1"/>
        </w:numPr>
        <w:spacing w:before="50" w:after="50" w:line="240" w:lineRule="auto"/>
        <w:contextualSpacing w:val="0"/>
      </w:pPr>
      <w:r>
        <w:rPr>
          <w:rFonts w:ascii="Arial" w:eastAsia="Arial" w:hAnsi="Arial" w:cs="Arial"/>
          <w:sz w:val="18"/>
          <w:szCs w:val="18"/>
        </w:rPr>
        <w:t xml:space="preserve">US Department of Justice (2016). </w:t>
      </w:r>
      <w:r>
        <w:rPr>
          <w:rFonts w:ascii="Arial" w:eastAsia="Arial" w:hAnsi="Arial" w:cs="Arial"/>
          <w:i/>
          <w:iCs/>
          <w:sz w:val="18"/>
          <w:szCs w:val="18"/>
        </w:rPr>
        <w:t xml:space="preserve">Swiss bank Julius Baer agrees to pay USD 547 million to resolve US tax evasion charges. </w:t>
      </w:r>
      <w:hyperlink r:id="rId16" w:history="1">
        <w:r>
          <w:rPr>
            <w:rFonts w:ascii="Arial" w:eastAsia="Arial" w:hAnsi="Arial" w:cs="Arial"/>
            <w:color w:val="2E75B6"/>
            <w:sz w:val="18"/>
            <w:szCs w:val="18"/>
            <w:u w:val="single"/>
          </w:rPr>
          <w:t>https://www.justice.gov/opa/pr/swiss-bank-julius-baer-agrees-pay-547-million-resolve-us-tax-evasion-charges</w:t>
        </w:r>
      </w:hyperlink>
    </w:p>
    <w:p w14:paraId="1200281A" w14:textId="31B5BDA8" w:rsidR="00244220" w:rsidRPr="00244220" w:rsidRDefault="00244220" w:rsidP="00244220">
      <w:pPr>
        <w:pStyle w:val="ListParagraph"/>
        <w:numPr>
          <w:ilvl w:val="0"/>
          <w:numId w:val="1"/>
        </w:numPr>
        <w:spacing w:before="50" w:after="50" w:line="240" w:lineRule="auto"/>
        <w:contextualSpacing w:val="0"/>
      </w:pPr>
      <w:r>
        <w:rPr>
          <w:rFonts w:ascii="Arial" w:eastAsia="Arial" w:hAnsi="Arial" w:cs="Arial"/>
          <w:sz w:val="18"/>
          <w:szCs w:val="18"/>
        </w:rPr>
        <w:t xml:space="preserve">Vertex Compliance (2025). </w:t>
      </w:r>
      <w:r>
        <w:rPr>
          <w:rFonts w:ascii="Arial" w:eastAsia="Arial" w:hAnsi="Arial" w:cs="Arial"/>
          <w:i/>
          <w:iCs/>
          <w:sz w:val="18"/>
          <w:szCs w:val="18"/>
        </w:rPr>
        <w:t xml:space="preserve">Julius Baer fined USD 5 million for money laundering control failures. </w:t>
      </w:r>
      <w:hyperlink r:id="rId17" w:history="1">
        <w:r>
          <w:rPr>
            <w:rFonts w:ascii="Arial" w:eastAsia="Arial" w:hAnsi="Arial" w:cs="Arial"/>
            <w:color w:val="2E75B6"/>
            <w:sz w:val="18"/>
            <w:szCs w:val="18"/>
            <w:u w:val="single"/>
          </w:rPr>
          <w:t>https://vertexcompliance.com/aml-updates-and-guidelines/julius-baer-fined-5-million-for-money-laundering-control-failures/</w:t>
        </w:r>
      </w:hyperlink>
    </w:p>
    <w:p w14:paraId="6FD7020B" w14:textId="77777777" w:rsidR="00244220" w:rsidRPr="00244220" w:rsidRDefault="00244220" w:rsidP="00244220">
      <w:pPr>
        <w:spacing w:before="60" w:after="60"/>
        <w:rPr>
          <w:rFonts w:ascii="Arial" w:hAnsi="Arial" w:cs="Arial"/>
          <w:sz w:val="20"/>
          <w:szCs w:val="20"/>
        </w:rPr>
      </w:pPr>
    </w:p>
    <w:p w14:paraId="1D8E48C1" w14:textId="77777777" w:rsidR="00244220" w:rsidRPr="00244220" w:rsidRDefault="00244220">
      <w:pPr>
        <w:rPr>
          <w:rFonts w:ascii="Arial" w:hAnsi="Arial" w:cs="Arial"/>
          <w:sz w:val="20"/>
          <w:szCs w:val="20"/>
        </w:rPr>
      </w:pPr>
    </w:p>
    <w:sectPr w:rsidR="00244220" w:rsidRPr="002442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304CC" w14:textId="77777777" w:rsidR="00B77B85" w:rsidRDefault="00B77B85" w:rsidP="009020F2">
      <w:pPr>
        <w:spacing w:after="0" w:line="240" w:lineRule="auto"/>
      </w:pPr>
      <w:r>
        <w:separator/>
      </w:r>
    </w:p>
  </w:endnote>
  <w:endnote w:type="continuationSeparator" w:id="0">
    <w:p w14:paraId="3D3EE7D1" w14:textId="77777777" w:rsidR="00B77B85" w:rsidRDefault="00B77B85" w:rsidP="00902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76A82" w14:textId="77777777" w:rsidR="00B77B85" w:rsidRDefault="00B77B85" w:rsidP="009020F2">
      <w:pPr>
        <w:spacing w:after="0" w:line="240" w:lineRule="auto"/>
      </w:pPr>
      <w:r>
        <w:separator/>
      </w:r>
    </w:p>
  </w:footnote>
  <w:footnote w:type="continuationSeparator" w:id="0">
    <w:p w14:paraId="2C804730" w14:textId="77777777" w:rsidR="00B77B85" w:rsidRDefault="00B77B85" w:rsidP="009020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67BC5"/>
    <w:multiLevelType w:val="hybridMultilevel"/>
    <w:tmpl w:val="23EEB44A"/>
    <w:lvl w:ilvl="0" w:tplc="325C4D66">
      <w:start w:val="1"/>
      <w:numFmt w:val="bullet"/>
      <w:lvlText w:val="•"/>
      <w:lvlJc w:val="left"/>
      <w:pPr>
        <w:ind w:left="440" w:hanging="220"/>
      </w:pPr>
    </w:lvl>
    <w:lvl w:ilvl="1" w:tplc="D414C17E">
      <w:numFmt w:val="decimal"/>
      <w:lvlText w:val=""/>
      <w:lvlJc w:val="left"/>
    </w:lvl>
    <w:lvl w:ilvl="2" w:tplc="8A6489E0">
      <w:numFmt w:val="decimal"/>
      <w:lvlText w:val=""/>
      <w:lvlJc w:val="left"/>
    </w:lvl>
    <w:lvl w:ilvl="3" w:tplc="DC50A7F0">
      <w:numFmt w:val="decimal"/>
      <w:lvlText w:val=""/>
      <w:lvlJc w:val="left"/>
    </w:lvl>
    <w:lvl w:ilvl="4" w:tplc="0F22F1BA">
      <w:numFmt w:val="decimal"/>
      <w:lvlText w:val=""/>
      <w:lvlJc w:val="left"/>
    </w:lvl>
    <w:lvl w:ilvl="5" w:tplc="2BF849EE">
      <w:numFmt w:val="decimal"/>
      <w:lvlText w:val=""/>
      <w:lvlJc w:val="left"/>
    </w:lvl>
    <w:lvl w:ilvl="6" w:tplc="A22E5E86">
      <w:numFmt w:val="decimal"/>
      <w:lvlText w:val=""/>
      <w:lvlJc w:val="left"/>
    </w:lvl>
    <w:lvl w:ilvl="7" w:tplc="B2EA5F00">
      <w:numFmt w:val="decimal"/>
      <w:lvlText w:val=""/>
      <w:lvlJc w:val="left"/>
    </w:lvl>
    <w:lvl w:ilvl="8" w:tplc="032AC620">
      <w:numFmt w:val="decimal"/>
      <w:lvlText w:val=""/>
      <w:lvlJc w:val="left"/>
    </w:lvl>
  </w:abstractNum>
  <w:num w:numId="1" w16cid:durableId="49310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220"/>
    <w:rsid w:val="001E5B9C"/>
    <w:rsid w:val="00232DD3"/>
    <w:rsid w:val="00244220"/>
    <w:rsid w:val="00303651"/>
    <w:rsid w:val="009020F2"/>
    <w:rsid w:val="00B77B85"/>
    <w:rsid w:val="00C82BED"/>
    <w:rsid w:val="00E9284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7734C"/>
  <w15:chartTrackingRefBased/>
  <w15:docId w15:val="{7C2AC2E9-116A-4FED-A75F-3E54BD981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2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2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2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2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2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2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2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2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220"/>
    <w:rPr>
      <w:rFonts w:eastAsiaTheme="majorEastAsia" w:cstheme="majorBidi"/>
      <w:color w:val="272727" w:themeColor="text1" w:themeTint="D8"/>
    </w:rPr>
  </w:style>
  <w:style w:type="paragraph" w:styleId="Title">
    <w:name w:val="Title"/>
    <w:basedOn w:val="Normal"/>
    <w:next w:val="Normal"/>
    <w:link w:val="TitleChar"/>
    <w:uiPriority w:val="10"/>
    <w:qFormat/>
    <w:rsid w:val="00244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220"/>
    <w:pPr>
      <w:spacing w:before="160"/>
      <w:jc w:val="center"/>
    </w:pPr>
    <w:rPr>
      <w:i/>
      <w:iCs/>
      <w:color w:val="404040" w:themeColor="text1" w:themeTint="BF"/>
    </w:rPr>
  </w:style>
  <w:style w:type="character" w:customStyle="1" w:styleId="QuoteChar">
    <w:name w:val="Quote Char"/>
    <w:basedOn w:val="DefaultParagraphFont"/>
    <w:link w:val="Quote"/>
    <w:uiPriority w:val="29"/>
    <w:rsid w:val="00244220"/>
    <w:rPr>
      <w:i/>
      <w:iCs/>
      <w:color w:val="404040" w:themeColor="text1" w:themeTint="BF"/>
    </w:rPr>
  </w:style>
  <w:style w:type="paragraph" w:styleId="ListParagraph">
    <w:name w:val="List Paragraph"/>
    <w:basedOn w:val="Normal"/>
    <w:qFormat/>
    <w:rsid w:val="00244220"/>
    <w:pPr>
      <w:ind w:left="720"/>
      <w:contextualSpacing/>
    </w:pPr>
  </w:style>
  <w:style w:type="character" w:styleId="IntenseEmphasis">
    <w:name w:val="Intense Emphasis"/>
    <w:basedOn w:val="DefaultParagraphFont"/>
    <w:uiPriority w:val="21"/>
    <w:qFormat/>
    <w:rsid w:val="00244220"/>
    <w:rPr>
      <w:i/>
      <w:iCs/>
      <w:color w:val="0F4761" w:themeColor="accent1" w:themeShade="BF"/>
    </w:rPr>
  </w:style>
  <w:style w:type="paragraph" w:styleId="IntenseQuote">
    <w:name w:val="Intense Quote"/>
    <w:basedOn w:val="Normal"/>
    <w:next w:val="Normal"/>
    <w:link w:val="IntenseQuoteChar"/>
    <w:uiPriority w:val="30"/>
    <w:qFormat/>
    <w:rsid w:val="00244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220"/>
    <w:rPr>
      <w:i/>
      <w:iCs/>
      <w:color w:val="0F4761" w:themeColor="accent1" w:themeShade="BF"/>
    </w:rPr>
  </w:style>
  <w:style w:type="character" w:styleId="IntenseReference">
    <w:name w:val="Intense Reference"/>
    <w:basedOn w:val="DefaultParagraphFont"/>
    <w:uiPriority w:val="32"/>
    <w:qFormat/>
    <w:rsid w:val="00244220"/>
    <w:rPr>
      <w:b/>
      <w:bCs/>
      <w:smallCaps/>
      <w:color w:val="0F4761" w:themeColor="accent1" w:themeShade="BF"/>
      <w:spacing w:val="5"/>
    </w:rPr>
  </w:style>
  <w:style w:type="paragraph" w:styleId="Header">
    <w:name w:val="header"/>
    <w:basedOn w:val="Normal"/>
    <w:link w:val="HeaderChar"/>
    <w:uiPriority w:val="99"/>
    <w:unhideWhenUsed/>
    <w:rsid w:val="009020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20F2"/>
  </w:style>
  <w:style w:type="paragraph" w:styleId="Footer">
    <w:name w:val="footer"/>
    <w:basedOn w:val="Normal"/>
    <w:link w:val="FooterChar"/>
    <w:uiPriority w:val="99"/>
    <w:unhideWhenUsed/>
    <w:rsid w:val="009020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20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lintelligence.com/2025/05/news-julius-baer-fined-e4-3m-over-aml-failings-including-ignoring-red-flags-on-high-risk-clients/" TargetMode="External"/><Relationship Id="rId13" Type="http://schemas.openxmlformats.org/officeDocument/2006/relationships/hyperlink" Target="https://www.juliusbaer.com/en/locations/singapor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neylaundering.com/news/singapore-penalizes-9-financial-firms-over-2-3-billion-money-laundering-scandal/" TargetMode="External"/><Relationship Id="rId12" Type="http://schemas.openxmlformats.org/officeDocument/2006/relationships/hyperlink" Target="https://www.juliusbaer.com/en/insights/julius-baer/annual-report/" TargetMode="External"/><Relationship Id="rId17" Type="http://schemas.openxmlformats.org/officeDocument/2006/relationships/hyperlink" Target="https://vertexcompliance.com/aml-updates-and-guidelines/julius-baer-fined-5-million-for-money-laundering-control-failures/" TargetMode="External"/><Relationship Id="rId2" Type="http://schemas.openxmlformats.org/officeDocument/2006/relationships/styles" Target="styles.xml"/><Relationship Id="rId16" Type="http://schemas.openxmlformats.org/officeDocument/2006/relationships/hyperlink" Target="https://www.justice.gov/opa/pr/swiss-bank-julius-baer-agrees-pay-547-million-resolve-us-tax-evasion-charg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rip.globalrelay.com/swiss-regulator-orders-julius-baer-to-pay-5m-over-serious-aml-violations/" TargetMode="External"/><Relationship Id="rId5" Type="http://schemas.openxmlformats.org/officeDocument/2006/relationships/footnotes" Target="footnotes.xml"/><Relationship Id="rId15" Type="http://schemas.openxmlformats.org/officeDocument/2006/relationships/hyperlink" Target="https://finance.yahoo.com/news/julius-baer-fined-over-lapses-134639139.html" TargetMode="External"/><Relationship Id="rId10" Type="http://schemas.openxmlformats.org/officeDocument/2006/relationships/hyperlink" Target="https://fincrimecentral.com/julius-baer-money-laundering-scandal-5m-fin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incen.gov/resources/statutes-regulations/rules/customer-due-diligence-requirements-financial-institutions" TargetMode="External"/><Relationship Id="rId14" Type="http://schemas.openxmlformats.org/officeDocument/2006/relationships/hyperlink" Target="https://www.mas.gov.sg/regulation/notices/notice-6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1711</Words>
  <Characters>9754</Characters>
  <Application>Microsoft Office Word</Application>
  <DocSecurity>0</DocSecurity>
  <Lines>81</Lines>
  <Paragraphs>22</Paragraphs>
  <ScaleCrop>false</ScaleCrop>
  <Company/>
  <LinksUpToDate>false</LinksUpToDate>
  <CharactersWithSpaces>11443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#PUA SIN YEE#</dc:creator>
  <cp:keywords/>
  <dc:description/>
  <cp:lastModifiedBy>#PUA SIN YEE#</cp:lastModifiedBy>
  <cp:revision>3</cp:revision>
  <dcterms:created xsi:type="dcterms:W3CDTF">2026-05-18T09:44:00Z</dcterms:created>
  <dcterms:modified xsi:type="dcterms:W3CDTF">2026-05-18T13:02:00Z</dcterms:modified>
</cp:coreProperties>
</file>