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8B79" w14:textId="14DC48A2" w:rsidR="00303651" w:rsidRPr="001A13D1" w:rsidRDefault="001A13D1" w:rsidP="001A13D1">
      <w:pPr>
        <w:ind w:left="720" w:hanging="720"/>
        <w:rPr>
          <w:rFonts w:ascii="Arial" w:hAnsi="Arial" w:cs="Arial"/>
          <w:sz w:val="20"/>
          <w:szCs w:val="20"/>
        </w:rPr>
      </w:pPr>
      <w:r w:rsidRPr="001A13D1">
        <w:rPr>
          <w:rFonts w:ascii="Arial" w:hAnsi="Arial" w:cs="Arial"/>
          <w:sz w:val="20"/>
          <w:szCs w:val="20"/>
        </w:rPr>
        <w:t xml:space="preserve">MH6822 Regulatory </w:t>
      </w:r>
      <w:proofErr w:type="spellStart"/>
      <w:r w:rsidRPr="001A13D1">
        <w:rPr>
          <w:rFonts w:ascii="Arial" w:hAnsi="Arial" w:cs="Arial"/>
          <w:sz w:val="20"/>
          <w:szCs w:val="20"/>
        </w:rPr>
        <w:t>Technology_Task</w:t>
      </w:r>
      <w:proofErr w:type="spellEnd"/>
      <w:r w:rsidRPr="001A13D1">
        <w:rPr>
          <w:rFonts w:ascii="Arial" w:hAnsi="Arial" w:cs="Arial"/>
          <w:sz w:val="20"/>
          <w:szCs w:val="20"/>
        </w:rPr>
        <w:t xml:space="preserve"> 2_Values Audit</w:t>
      </w:r>
    </w:p>
    <w:p w14:paraId="5A457249" w14:textId="0A9CCAD5" w:rsidR="001A13D1" w:rsidRPr="001A13D1" w:rsidRDefault="001A13D1" w:rsidP="001A13D1">
      <w:pPr>
        <w:spacing w:before="180" w:after="80"/>
        <w:rPr>
          <w:rFonts w:ascii="Arial" w:hAnsi="Arial" w:cs="Arial"/>
          <w:sz w:val="20"/>
          <w:szCs w:val="20"/>
        </w:rPr>
      </w:pPr>
      <w:r w:rsidRPr="001A13D1">
        <w:rPr>
          <w:rFonts w:ascii="Arial" w:eastAsia="Arial" w:hAnsi="Arial" w:cs="Arial"/>
          <w:b/>
          <w:bCs/>
          <w:sz w:val="20"/>
          <w:szCs w:val="20"/>
        </w:rPr>
        <w:t xml:space="preserve">1. </w:t>
      </w:r>
      <w:r w:rsidRPr="001A13D1">
        <w:rPr>
          <w:rFonts w:ascii="Arial" w:eastAsia="Arial" w:hAnsi="Arial" w:cs="Arial"/>
          <w:b/>
          <w:bCs/>
          <w:sz w:val="20"/>
          <w:szCs w:val="20"/>
        </w:rPr>
        <w:t>Mission, Company Profile, and Aspirations</w:t>
      </w:r>
    </w:p>
    <w:p w14:paraId="353E2DD7"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Mission Statement</w:t>
      </w:r>
    </w:p>
    <w:p w14:paraId="2D716A59" w14:textId="6A1C5E36" w:rsidR="001A13D1" w:rsidRPr="001A13D1" w:rsidRDefault="001A13D1" w:rsidP="001A13D1">
      <w:pPr>
        <w:spacing w:before="60" w:after="60"/>
        <w:rPr>
          <w:rFonts w:ascii="Arial" w:hAnsi="Arial" w:cs="Arial"/>
          <w:sz w:val="20"/>
          <w:szCs w:val="20"/>
        </w:rPr>
      </w:pP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exists to give private wealth managers the compliance intelligence their clients' complexity demands </w:t>
      </w:r>
      <w:r w:rsidR="00DE5C0A">
        <w:rPr>
          <w:rFonts w:ascii="Arial" w:eastAsia="Arial" w:hAnsi="Arial" w:cs="Arial"/>
          <w:sz w:val="20"/>
          <w:szCs w:val="20"/>
        </w:rPr>
        <w:t>-</w:t>
      </w:r>
      <w:r w:rsidRPr="001A13D1">
        <w:rPr>
          <w:rFonts w:ascii="Arial" w:eastAsia="Arial" w:hAnsi="Arial" w:cs="Arial"/>
          <w:sz w:val="20"/>
          <w:szCs w:val="20"/>
        </w:rPr>
        <w:t xml:space="preserve"> jurisdiction-aware, explainable, and honest about its limits.</w:t>
      </w:r>
    </w:p>
    <w:p w14:paraId="7309989E" w14:textId="77777777" w:rsidR="001A13D1" w:rsidRPr="001A13D1" w:rsidRDefault="001A13D1" w:rsidP="001A13D1">
      <w:pPr>
        <w:spacing w:before="60" w:after="60"/>
        <w:rPr>
          <w:rFonts w:ascii="Arial" w:hAnsi="Arial" w:cs="Arial"/>
          <w:sz w:val="20"/>
          <w:szCs w:val="20"/>
        </w:rPr>
      </w:pPr>
    </w:p>
    <w:p w14:paraId="5230DFC1"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Company Profile</w:t>
      </w:r>
    </w:p>
    <w:p w14:paraId="3804E0C8" w14:textId="35A090D1" w:rsidR="001A13D1" w:rsidRPr="001A13D1" w:rsidRDefault="001A13D1" w:rsidP="001A13D1">
      <w:pPr>
        <w:spacing w:before="60" w:after="60"/>
        <w:rPr>
          <w:rFonts w:ascii="Arial" w:hAnsi="Arial" w:cs="Arial"/>
          <w:sz w:val="20"/>
          <w:szCs w:val="20"/>
        </w:rPr>
      </w:pP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is a seed-stage </w:t>
      </w:r>
      <w:proofErr w:type="spellStart"/>
      <w:r w:rsidRPr="001A13D1">
        <w:rPr>
          <w:rFonts w:ascii="Arial" w:eastAsia="Arial" w:hAnsi="Arial" w:cs="Arial"/>
          <w:sz w:val="20"/>
          <w:szCs w:val="20"/>
        </w:rPr>
        <w:t>RegTech</w:t>
      </w:r>
      <w:proofErr w:type="spellEnd"/>
      <w:r w:rsidRPr="001A13D1">
        <w:rPr>
          <w:rFonts w:ascii="Arial" w:eastAsia="Arial" w:hAnsi="Arial" w:cs="Arial"/>
          <w:sz w:val="20"/>
          <w:szCs w:val="20"/>
        </w:rPr>
        <w:t xml:space="preserve"> startup founded by former private banking compliance practitioners who observed firsthand the structural failures of off-the-shelf TM tools in a HNWI environment. The founding team brings direct operational experience in transaction monitoring compliance, which is both the company's core competency and its primary differentiator. The team is small</w:t>
      </w:r>
      <w:r w:rsidR="00DE5C0A">
        <w:rPr>
          <w:rFonts w:ascii="Arial" w:eastAsia="Arial" w:hAnsi="Arial" w:cs="Arial"/>
          <w:sz w:val="20"/>
          <w:szCs w:val="20"/>
        </w:rPr>
        <w:t>,</w:t>
      </w:r>
      <w:r w:rsidRPr="001A13D1">
        <w:rPr>
          <w:rFonts w:ascii="Arial" w:eastAsia="Arial" w:hAnsi="Arial" w:cs="Arial"/>
          <w:sz w:val="20"/>
          <w:szCs w:val="20"/>
        </w:rPr>
        <w:t xml:space="preserve"> under ten people</w:t>
      </w:r>
      <w:r w:rsidR="00DE5C0A">
        <w:rPr>
          <w:rFonts w:ascii="Arial" w:eastAsia="Arial" w:hAnsi="Arial" w:cs="Arial"/>
          <w:sz w:val="20"/>
          <w:szCs w:val="20"/>
        </w:rPr>
        <w:t xml:space="preserve">, </w:t>
      </w:r>
      <w:r w:rsidRPr="001A13D1">
        <w:rPr>
          <w:rFonts w:ascii="Arial" w:eastAsia="Arial" w:hAnsi="Arial" w:cs="Arial"/>
          <w:sz w:val="20"/>
          <w:szCs w:val="20"/>
        </w:rPr>
        <w:t>with backgrounds spanning AML compliance, financial crime analytics, and financial regulation.</w:t>
      </w:r>
    </w:p>
    <w:p w14:paraId="2E302130" w14:textId="77777777" w:rsidR="001A13D1" w:rsidRPr="001A13D1" w:rsidRDefault="001A13D1" w:rsidP="001A13D1">
      <w:pPr>
        <w:spacing w:before="60" w:after="60"/>
        <w:rPr>
          <w:rFonts w:ascii="Arial" w:hAnsi="Arial" w:cs="Arial"/>
          <w:sz w:val="20"/>
          <w:szCs w:val="20"/>
        </w:rPr>
      </w:pPr>
    </w:p>
    <w:p w14:paraId="077601B0" w14:textId="7D1EEEDE"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The company is at an early stage. The product exists as a working prototype demonstrating the core jurisdiction-switching logic, rule-based scoring, anomaly detection, and SHAP-driven narrative generation. First clients are being approached</w:t>
      </w:r>
      <w:r w:rsidR="00DE5C0A">
        <w:rPr>
          <w:rFonts w:ascii="Arial" w:eastAsia="Arial" w:hAnsi="Arial" w:cs="Arial"/>
          <w:sz w:val="20"/>
          <w:szCs w:val="20"/>
        </w:rPr>
        <w:t>,</w:t>
      </w:r>
      <w:r w:rsidRPr="001A13D1">
        <w:rPr>
          <w:rFonts w:ascii="Arial" w:eastAsia="Arial" w:hAnsi="Arial" w:cs="Arial"/>
          <w:sz w:val="20"/>
          <w:szCs w:val="20"/>
        </w:rPr>
        <w:t xml:space="preserve"> specifically Chief Compliance Officers at boutique private banks in Singapore who operate under MAS Notice 626 and have US-booked clients subject to FinCEN obligations. These are institutions large enough to face genuine multi-jurisdiction compliance exposure but too small to justify the implementation cost of NICE Actimize or Oracle FCCM.</w:t>
      </w:r>
    </w:p>
    <w:p w14:paraId="552B68D8" w14:textId="77777777" w:rsidR="001A13D1" w:rsidRPr="001A13D1" w:rsidRDefault="001A13D1" w:rsidP="001A13D1">
      <w:pPr>
        <w:spacing w:before="60" w:after="60"/>
        <w:rPr>
          <w:rFonts w:ascii="Arial" w:hAnsi="Arial" w:cs="Arial"/>
          <w:sz w:val="20"/>
          <w:szCs w:val="20"/>
        </w:rPr>
      </w:pPr>
    </w:p>
    <w:p w14:paraId="7D62113D"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Core Values</w:t>
      </w:r>
    </w:p>
    <w:p w14:paraId="363C4B25" w14:textId="1D021974"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Honesty over coverage: </w:t>
      </w: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would rather state clearly what the tool does not do than overstate its capabilities to close a sale. The model card</w:t>
      </w:r>
      <w:r w:rsidR="00DE5C0A">
        <w:rPr>
          <w:rFonts w:ascii="Arial" w:eastAsia="Arial" w:hAnsi="Arial" w:cs="Arial"/>
          <w:sz w:val="20"/>
          <w:szCs w:val="20"/>
        </w:rPr>
        <w:t xml:space="preserve">, </w:t>
      </w:r>
      <w:r w:rsidRPr="001A13D1">
        <w:rPr>
          <w:rFonts w:ascii="Arial" w:eastAsia="Arial" w:hAnsi="Arial" w:cs="Arial"/>
          <w:sz w:val="20"/>
          <w:szCs w:val="20"/>
        </w:rPr>
        <w:t>which explicitly lists five failure modes and four boundary conditions</w:t>
      </w:r>
      <w:r w:rsidR="00DE5C0A">
        <w:rPr>
          <w:rFonts w:ascii="Arial" w:eastAsia="Arial" w:hAnsi="Arial" w:cs="Arial"/>
          <w:sz w:val="20"/>
          <w:szCs w:val="20"/>
        </w:rPr>
        <w:t>,</w:t>
      </w:r>
      <w:r w:rsidRPr="001A13D1">
        <w:rPr>
          <w:rFonts w:ascii="Arial" w:eastAsia="Arial" w:hAnsi="Arial" w:cs="Arial"/>
          <w:sz w:val="20"/>
          <w:szCs w:val="20"/>
        </w:rPr>
        <w:t xml:space="preserve"> is not a legal disclaimer. It is a design principle. A compliance tool that overstates its coverage is more dangerous than one that declares its limits.</w:t>
      </w:r>
    </w:p>
    <w:p w14:paraId="421B9931" w14:textId="77777777" w:rsidR="001A13D1" w:rsidRPr="001A13D1" w:rsidRDefault="001A13D1" w:rsidP="001A13D1">
      <w:pPr>
        <w:spacing w:before="60" w:after="60"/>
        <w:rPr>
          <w:rFonts w:ascii="Arial" w:hAnsi="Arial" w:cs="Arial"/>
          <w:sz w:val="20"/>
          <w:szCs w:val="20"/>
        </w:rPr>
      </w:pPr>
    </w:p>
    <w:p w14:paraId="37D0C2F8" w14:textId="0EC7C07F"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Risk detection over risk documentation: the company's founding premise is that the AML compliance industry has drifted toward generating paper rather than catching criminals. </w:t>
      </w:r>
      <w:proofErr w:type="spellStart"/>
      <w:r w:rsidRPr="001A13D1">
        <w:rPr>
          <w:rFonts w:ascii="Arial" w:eastAsia="Arial" w:hAnsi="Arial" w:cs="Arial"/>
          <w:sz w:val="20"/>
          <w:szCs w:val="20"/>
        </w:rPr>
        <w:t>Sentriq's</w:t>
      </w:r>
      <w:proofErr w:type="spellEnd"/>
      <w:r w:rsidRPr="001A13D1">
        <w:rPr>
          <w:rFonts w:ascii="Arial" w:eastAsia="Arial" w:hAnsi="Arial" w:cs="Arial"/>
          <w:sz w:val="20"/>
          <w:szCs w:val="20"/>
        </w:rPr>
        <w:t xml:space="preserve"> design choices</w:t>
      </w:r>
      <w:r w:rsidR="00DE5C0A">
        <w:rPr>
          <w:rFonts w:ascii="Arial" w:eastAsia="Arial" w:hAnsi="Arial" w:cs="Arial"/>
          <w:sz w:val="20"/>
          <w:szCs w:val="20"/>
        </w:rPr>
        <w:t>,</w:t>
      </w:r>
      <w:r w:rsidRPr="001A13D1">
        <w:rPr>
          <w:rFonts w:ascii="Arial" w:eastAsia="Arial" w:hAnsi="Arial" w:cs="Arial"/>
          <w:sz w:val="20"/>
          <w:szCs w:val="20"/>
        </w:rPr>
        <w:t xml:space="preserve"> particularly the inter-entity transfer rule included without regulatory mandate</w:t>
      </w:r>
      <w:r w:rsidR="00DE5C0A">
        <w:rPr>
          <w:rFonts w:ascii="Arial" w:eastAsia="Arial" w:hAnsi="Arial" w:cs="Arial"/>
          <w:sz w:val="20"/>
          <w:szCs w:val="20"/>
        </w:rPr>
        <w:t xml:space="preserve">, </w:t>
      </w:r>
      <w:r w:rsidRPr="001A13D1">
        <w:rPr>
          <w:rFonts w:ascii="Arial" w:eastAsia="Arial" w:hAnsi="Arial" w:cs="Arial"/>
          <w:sz w:val="20"/>
          <w:szCs w:val="20"/>
        </w:rPr>
        <w:t>reflect a commitment to genuine detection over defensive filing.</w:t>
      </w:r>
    </w:p>
    <w:p w14:paraId="5ED47996" w14:textId="77777777" w:rsidR="001A13D1" w:rsidRPr="001A13D1" w:rsidRDefault="001A13D1" w:rsidP="001A13D1">
      <w:pPr>
        <w:spacing w:before="60" w:after="60"/>
        <w:rPr>
          <w:rFonts w:ascii="Arial" w:hAnsi="Arial" w:cs="Arial"/>
          <w:sz w:val="20"/>
          <w:szCs w:val="20"/>
        </w:rPr>
      </w:pPr>
    </w:p>
    <w:p w14:paraId="18495300" w14:textId="7CF73BEF"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Judgement preserved: the tool does not make filing decisions. Every RED and AMBER alert requires a human compliance officer to review and decide. This is not a technical limitation </w:t>
      </w:r>
      <w:r w:rsidR="00DE5C0A">
        <w:rPr>
          <w:rFonts w:ascii="Arial" w:eastAsia="Arial" w:hAnsi="Arial" w:cs="Arial"/>
          <w:sz w:val="20"/>
          <w:szCs w:val="20"/>
        </w:rPr>
        <w:t>but</w:t>
      </w:r>
      <w:r w:rsidRPr="001A13D1">
        <w:rPr>
          <w:rFonts w:ascii="Arial" w:eastAsia="Arial" w:hAnsi="Arial" w:cs="Arial"/>
          <w:sz w:val="20"/>
          <w:szCs w:val="20"/>
        </w:rPr>
        <w:t xml:space="preserve"> a values choice. The MLRO's accountability cannot be outsourced to a model.</w:t>
      </w:r>
    </w:p>
    <w:p w14:paraId="5001E2DE" w14:textId="77777777" w:rsidR="001A13D1" w:rsidRPr="001A13D1" w:rsidRDefault="001A13D1" w:rsidP="001A13D1">
      <w:pPr>
        <w:spacing w:before="60" w:after="60"/>
        <w:rPr>
          <w:rFonts w:ascii="Arial" w:hAnsi="Arial" w:cs="Arial"/>
          <w:sz w:val="20"/>
          <w:szCs w:val="20"/>
        </w:rPr>
      </w:pPr>
    </w:p>
    <w:p w14:paraId="73693D81"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Aspirations</w:t>
      </w:r>
    </w:p>
    <w:p w14:paraId="27697C6B" w14:textId="2707345C" w:rsidR="001A13D1" w:rsidRPr="00D4507D" w:rsidRDefault="001A13D1" w:rsidP="001A13D1">
      <w:pPr>
        <w:spacing w:before="60" w:after="60"/>
        <w:rPr>
          <w:rFonts w:ascii="Arial" w:eastAsia="Arial" w:hAnsi="Arial" w:cs="Arial"/>
          <w:sz w:val="20"/>
          <w:szCs w:val="20"/>
        </w:rPr>
      </w:pPr>
      <w:r w:rsidRPr="001A13D1">
        <w:rPr>
          <w:rFonts w:ascii="Arial" w:eastAsia="Arial" w:hAnsi="Arial" w:cs="Arial"/>
          <w:sz w:val="20"/>
          <w:szCs w:val="20"/>
        </w:rPr>
        <w:t xml:space="preserve">Revenue: </w:t>
      </w:r>
      <w:r w:rsidR="0078643A">
        <w:rPr>
          <w:rFonts w:ascii="Arial" w:eastAsia="Arial" w:hAnsi="Arial" w:cs="Arial"/>
          <w:sz w:val="20"/>
          <w:szCs w:val="20"/>
        </w:rPr>
        <w:t>I</w:t>
      </w:r>
      <w:r w:rsidRPr="001A13D1">
        <w:rPr>
          <w:rFonts w:ascii="Arial" w:eastAsia="Arial" w:hAnsi="Arial" w:cs="Arial"/>
          <w:sz w:val="20"/>
          <w:szCs w:val="20"/>
        </w:rPr>
        <w:t xml:space="preserve">n the near term, </w:t>
      </w: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targets a small number of anchor clients in Singapore at a subscription price point appropriate for boutique private banks </w:t>
      </w:r>
      <w:r w:rsidR="00DE5C0A">
        <w:rPr>
          <w:rFonts w:ascii="Arial" w:eastAsia="Arial" w:hAnsi="Arial" w:cs="Arial"/>
          <w:sz w:val="20"/>
          <w:szCs w:val="20"/>
        </w:rPr>
        <w:t>(</w:t>
      </w:r>
      <w:r w:rsidRPr="001A13D1">
        <w:rPr>
          <w:rFonts w:ascii="Arial" w:eastAsia="Arial" w:hAnsi="Arial" w:cs="Arial"/>
          <w:sz w:val="20"/>
          <w:szCs w:val="20"/>
        </w:rPr>
        <w:t>institutions with USD 5 to 50 billion in AUM</w:t>
      </w:r>
      <w:r w:rsidR="00DE5C0A">
        <w:rPr>
          <w:rFonts w:ascii="Arial" w:eastAsia="Arial" w:hAnsi="Arial" w:cs="Arial"/>
          <w:sz w:val="20"/>
          <w:szCs w:val="20"/>
        </w:rPr>
        <w:t>)</w:t>
      </w:r>
      <w:r w:rsidRPr="001A13D1">
        <w:rPr>
          <w:rFonts w:ascii="Arial" w:eastAsia="Arial" w:hAnsi="Arial" w:cs="Arial"/>
          <w:sz w:val="20"/>
          <w:szCs w:val="20"/>
        </w:rPr>
        <w:t xml:space="preserve"> that cannot justify enterprise TM system costs. The addressable market in Asia Pacific </w:t>
      </w:r>
      <w:r w:rsidR="005B67BD" w:rsidRPr="001A13D1">
        <w:rPr>
          <w:rFonts w:ascii="Arial" w:eastAsia="Arial" w:hAnsi="Arial" w:cs="Arial"/>
          <w:sz w:val="20"/>
          <w:szCs w:val="20"/>
        </w:rPr>
        <w:t>alone</w:t>
      </w:r>
      <w:r w:rsidR="005B67BD">
        <w:rPr>
          <w:rFonts w:ascii="Arial" w:eastAsia="Arial" w:hAnsi="Arial" w:cs="Arial"/>
          <w:sz w:val="20"/>
          <w:szCs w:val="20"/>
        </w:rPr>
        <w:t xml:space="preserve">, </w:t>
      </w:r>
      <w:r w:rsidR="005B67BD" w:rsidRPr="001A13D1">
        <w:rPr>
          <w:rFonts w:ascii="Arial" w:eastAsia="Arial" w:hAnsi="Arial" w:cs="Arial"/>
          <w:sz w:val="20"/>
          <w:szCs w:val="20"/>
        </w:rPr>
        <w:t>private</w:t>
      </w:r>
      <w:r w:rsidRPr="001A13D1">
        <w:rPr>
          <w:rFonts w:ascii="Arial" w:eastAsia="Arial" w:hAnsi="Arial" w:cs="Arial"/>
          <w:sz w:val="20"/>
          <w:szCs w:val="20"/>
        </w:rPr>
        <w:t xml:space="preserve"> banks subject to both MAS and US regulatory obligations </w:t>
      </w:r>
      <w:r w:rsidR="00D4507D">
        <w:rPr>
          <w:rFonts w:ascii="Arial" w:eastAsia="Arial" w:hAnsi="Arial" w:cs="Arial"/>
          <w:sz w:val="20"/>
          <w:szCs w:val="20"/>
        </w:rPr>
        <w:t>-</w:t>
      </w:r>
      <w:r w:rsidRPr="001A13D1">
        <w:rPr>
          <w:rFonts w:ascii="Arial" w:eastAsia="Arial" w:hAnsi="Arial" w:cs="Arial"/>
          <w:sz w:val="20"/>
          <w:szCs w:val="20"/>
        </w:rPr>
        <w:t xml:space="preserve"> is significant and underserved by current tooling.</w:t>
      </w:r>
    </w:p>
    <w:p w14:paraId="14D6E6C5" w14:textId="77777777" w:rsidR="001A13D1" w:rsidRPr="001A13D1" w:rsidRDefault="001A13D1" w:rsidP="001A13D1">
      <w:pPr>
        <w:spacing w:before="60" w:after="60"/>
        <w:rPr>
          <w:rFonts w:ascii="Arial" w:hAnsi="Arial" w:cs="Arial"/>
          <w:sz w:val="20"/>
          <w:szCs w:val="20"/>
        </w:rPr>
      </w:pPr>
    </w:p>
    <w:p w14:paraId="135FDB80" w14:textId="77777777"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lastRenderedPageBreak/>
        <w:t>Costs: kept intentionally lean. The product is a Python-based analytical tool, not an enterprise software platform. This is a deliberate choice: it allows rapid iteration as regulatory requirements change and keeps the cost of delivery low enough to serve boutique institutions profitably.</w:t>
      </w:r>
    </w:p>
    <w:p w14:paraId="5F747F5C" w14:textId="77777777" w:rsidR="001A13D1" w:rsidRPr="001A13D1" w:rsidRDefault="001A13D1" w:rsidP="001A13D1">
      <w:pPr>
        <w:spacing w:before="60" w:after="60"/>
        <w:rPr>
          <w:rFonts w:ascii="Arial" w:hAnsi="Arial" w:cs="Arial"/>
          <w:sz w:val="20"/>
          <w:szCs w:val="20"/>
        </w:rPr>
      </w:pPr>
    </w:p>
    <w:p w14:paraId="59C2B6E2" w14:textId="7FFEF69D" w:rsidR="001A13D1" w:rsidRPr="001A13D1" w:rsidRDefault="001A13D1" w:rsidP="001A13D1">
      <w:pPr>
        <w:spacing w:before="60" w:after="60"/>
        <w:rPr>
          <w:rFonts w:ascii="Arial" w:eastAsia="Arial" w:hAnsi="Arial" w:cs="Arial"/>
          <w:sz w:val="20"/>
          <w:szCs w:val="20"/>
        </w:rPr>
      </w:pPr>
      <w:r w:rsidRPr="001A13D1">
        <w:rPr>
          <w:rFonts w:ascii="Arial" w:eastAsia="Arial" w:hAnsi="Arial" w:cs="Arial"/>
          <w:sz w:val="20"/>
          <w:szCs w:val="20"/>
        </w:rPr>
        <w:t xml:space="preserve">Geography: Singapore and Hong Kong first, where MAS Notice 626 and HKMA AML requirements create demand for risk-based, narrative-driven TM outputs. US and UK later, once the jurisdiction config is extended to cover FinCEN and FCA Consumer Duty. Switzerland and FINMA are acknowledged as the honest next step </w:t>
      </w:r>
      <w:r w:rsidR="00D4507D">
        <w:rPr>
          <w:rFonts w:ascii="Arial" w:eastAsia="Arial" w:hAnsi="Arial" w:cs="Arial"/>
          <w:sz w:val="20"/>
          <w:szCs w:val="20"/>
        </w:rPr>
        <w:t>which are</w:t>
      </w:r>
      <w:r w:rsidRPr="001A13D1">
        <w:rPr>
          <w:rFonts w:ascii="Arial" w:eastAsia="Arial" w:hAnsi="Arial" w:cs="Arial"/>
          <w:sz w:val="20"/>
          <w:szCs w:val="20"/>
        </w:rPr>
        <w:t xml:space="preserve"> not yet built.</w:t>
      </w:r>
    </w:p>
    <w:p w14:paraId="50B5C442" w14:textId="77777777" w:rsidR="001A13D1" w:rsidRPr="001A13D1" w:rsidRDefault="001A13D1" w:rsidP="001A13D1">
      <w:pPr>
        <w:spacing w:before="60" w:after="60"/>
        <w:rPr>
          <w:rFonts w:ascii="Arial" w:eastAsia="Arial" w:hAnsi="Arial" w:cs="Arial"/>
          <w:sz w:val="20"/>
          <w:szCs w:val="20"/>
        </w:rPr>
      </w:pPr>
    </w:p>
    <w:p w14:paraId="0B2E7655" w14:textId="4FA4CEDB" w:rsidR="001A13D1" w:rsidRPr="001A13D1" w:rsidRDefault="001A13D1" w:rsidP="001A13D1">
      <w:pPr>
        <w:spacing w:before="180" w:after="80"/>
        <w:rPr>
          <w:rFonts w:ascii="Arial" w:hAnsi="Arial" w:cs="Arial"/>
          <w:sz w:val="20"/>
          <w:szCs w:val="20"/>
        </w:rPr>
      </w:pPr>
      <w:r w:rsidRPr="001A13D1">
        <w:rPr>
          <w:rFonts w:ascii="Arial" w:eastAsia="Arial" w:hAnsi="Arial" w:cs="Arial"/>
          <w:b/>
          <w:bCs/>
          <w:sz w:val="20"/>
          <w:szCs w:val="20"/>
        </w:rPr>
        <w:t>2. Whose Perspective Does the Tool Serve?</w:t>
      </w:r>
    </w:p>
    <w:p w14:paraId="107E5ED8"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 xml:space="preserve">The Perspective </w:t>
      </w:r>
      <w:proofErr w:type="spellStart"/>
      <w:r w:rsidRPr="001A13D1">
        <w:rPr>
          <w:rFonts w:ascii="Arial" w:eastAsia="Arial" w:hAnsi="Arial" w:cs="Arial"/>
          <w:b/>
          <w:bCs/>
          <w:sz w:val="20"/>
          <w:szCs w:val="20"/>
        </w:rPr>
        <w:t>Sentriq</w:t>
      </w:r>
      <w:proofErr w:type="spellEnd"/>
      <w:r w:rsidRPr="001A13D1">
        <w:rPr>
          <w:rFonts w:ascii="Arial" w:eastAsia="Arial" w:hAnsi="Arial" w:cs="Arial"/>
          <w:b/>
          <w:bCs/>
          <w:sz w:val="20"/>
          <w:szCs w:val="20"/>
        </w:rPr>
        <w:t xml:space="preserve"> Serves: Genuine AML Substance</w:t>
      </w:r>
    </w:p>
    <w:p w14:paraId="5B092E47" w14:textId="4D6A3C30" w:rsidR="001A13D1" w:rsidRPr="001A13D1" w:rsidRDefault="001A13D1" w:rsidP="001A13D1">
      <w:pPr>
        <w:spacing w:before="60" w:after="60"/>
        <w:rPr>
          <w:rFonts w:ascii="Arial" w:hAnsi="Arial" w:cs="Arial"/>
          <w:sz w:val="20"/>
          <w:szCs w:val="20"/>
        </w:rPr>
      </w:pP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is designed to serve one perspective above all others: the detection of transactions with genuine AML substance. The tool exists to identify financial crime indicators that are real, not to generate a filing trail that satisfies a regulatory audit. This is a values choice, not a marketing position. Working in transaction monitoring compliance at a private bank makes this perspective unavoidable </w:t>
      </w:r>
      <w:r w:rsidR="00D4507D">
        <w:rPr>
          <w:rFonts w:ascii="Arial" w:eastAsia="Arial" w:hAnsi="Arial" w:cs="Arial"/>
          <w:sz w:val="20"/>
          <w:szCs w:val="20"/>
        </w:rPr>
        <w:t>-</w:t>
      </w:r>
      <w:r w:rsidRPr="001A13D1">
        <w:rPr>
          <w:rFonts w:ascii="Arial" w:eastAsia="Arial" w:hAnsi="Arial" w:cs="Arial"/>
          <w:sz w:val="20"/>
          <w:szCs w:val="20"/>
        </w:rPr>
        <w:t xml:space="preserve"> the operational reality is that the majority of alerts generated by incumbent systems have no AML substance whatsoever, and the compliance function has drifted toward documenting activity rather than detecting crime.</w:t>
      </w:r>
    </w:p>
    <w:p w14:paraId="0A414146" w14:textId="77777777" w:rsidR="001A13D1" w:rsidRPr="001A13D1" w:rsidRDefault="001A13D1" w:rsidP="001A13D1">
      <w:pPr>
        <w:spacing w:before="60" w:after="60"/>
        <w:rPr>
          <w:rFonts w:ascii="Arial" w:hAnsi="Arial" w:cs="Arial"/>
          <w:sz w:val="20"/>
          <w:szCs w:val="20"/>
        </w:rPr>
      </w:pPr>
    </w:p>
    <w:p w14:paraId="0471C7FD"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The Paying Client: The CCO</w:t>
      </w:r>
    </w:p>
    <w:p w14:paraId="1C11F92C" w14:textId="77777777"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The CCO is the paying client. This is an honest statement. The CCO signs off on the implementation, holds the budget, and is professionally accountable for the bank's AML program. </w:t>
      </w: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needs the CCO to find commercial value in the tool for the company to survive. The CCO's primary interests are reducing false positive volume, managing regulatory risk, and producing defensible audit outputs. These interests are legitimate. They also do not fully align with the perspective of genuine AML substance.</w:t>
      </w:r>
    </w:p>
    <w:p w14:paraId="7890D2AA" w14:textId="77777777" w:rsidR="001A13D1" w:rsidRPr="001A13D1" w:rsidRDefault="001A13D1" w:rsidP="001A13D1">
      <w:pPr>
        <w:spacing w:before="60" w:after="60"/>
        <w:rPr>
          <w:rFonts w:ascii="Arial" w:hAnsi="Arial" w:cs="Arial"/>
          <w:sz w:val="20"/>
          <w:szCs w:val="20"/>
        </w:rPr>
      </w:pPr>
    </w:p>
    <w:p w14:paraId="66EEC11C" w14:textId="4A47B39A"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 xml:space="preserve">The Tension </w:t>
      </w:r>
    </w:p>
    <w:p w14:paraId="70734B07" w14:textId="1D8A75A8"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The tension is real and it is worth stating plainly. A CCO under cost pressure prefers a tool that reduces operational burden. Fewer alerts </w:t>
      </w:r>
      <w:r w:rsidR="00D4507D" w:rsidRPr="001A13D1">
        <w:rPr>
          <w:rFonts w:ascii="Arial" w:eastAsia="Arial" w:hAnsi="Arial" w:cs="Arial"/>
          <w:sz w:val="20"/>
          <w:szCs w:val="20"/>
        </w:rPr>
        <w:t>mean</w:t>
      </w:r>
      <w:r w:rsidRPr="001A13D1">
        <w:rPr>
          <w:rFonts w:ascii="Arial" w:eastAsia="Arial" w:hAnsi="Arial" w:cs="Arial"/>
          <w:sz w:val="20"/>
          <w:szCs w:val="20"/>
        </w:rPr>
        <w:t xml:space="preserve"> fewer analyst hours. A jurisdiction-aware tool means fewer regulatory sanctions. These outcomes serve the CCO. They only serve genuine AML detection if the reduction in alert volume reflects a genuine improvement in signal quality — not simply a higher threshold that misses real cases.</w:t>
      </w:r>
    </w:p>
    <w:p w14:paraId="12122F0D" w14:textId="77777777" w:rsidR="001A13D1" w:rsidRPr="001A13D1" w:rsidRDefault="001A13D1" w:rsidP="001A13D1">
      <w:pPr>
        <w:spacing w:before="60" w:after="60"/>
        <w:rPr>
          <w:rFonts w:ascii="Arial" w:hAnsi="Arial" w:cs="Arial"/>
          <w:sz w:val="20"/>
          <w:szCs w:val="20"/>
        </w:rPr>
      </w:pPr>
    </w:p>
    <w:p w14:paraId="5EA3C197" w14:textId="501BF3C7"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FinCEN has publicly documented this tension. Its 2014 guidance on SAR narratives noted that the volume of defensive SAR filings </w:t>
      </w:r>
      <w:r w:rsidR="00D4507D">
        <w:rPr>
          <w:rFonts w:ascii="Arial" w:eastAsia="Arial" w:hAnsi="Arial" w:cs="Arial"/>
          <w:sz w:val="20"/>
          <w:szCs w:val="20"/>
        </w:rPr>
        <w:t>-</w:t>
      </w:r>
      <w:r w:rsidRPr="001A13D1">
        <w:rPr>
          <w:rFonts w:ascii="Arial" w:eastAsia="Arial" w:hAnsi="Arial" w:cs="Arial"/>
          <w:sz w:val="20"/>
          <w:szCs w:val="20"/>
        </w:rPr>
        <w:t xml:space="preserve"> institutions filing borderline cases primarily to demonstrate compliance rather than because they genuinely suspect criminal activity </w:t>
      </w:r>
      <w:r w:rsidR="00D4507D">
        <w:rPr>
          <w:rFonts w:ascii="Arial" w:eastAsia="Arial" w:hAnsi="Arial" w:cs="Arial"/>
          <w:sz w:val="20"/>
          <w:szCs w:val="20"/>
        </w:rPr>
        <w:t>-</w:t>
      </w:r>
      <w:r w:rsidRPr="001A13D1">
        <w:rPr>
          <w:rFonts w:ascii="Arial" w:eastAsia="Arial" w:hAnsi="Arial" w:cs="Arial"/>
          <w:sz w:val="20"/>
          <w:szCs w:val="20"/>
        </w:rPr>
        <w:t xml:space="preserve"> reduces the usefulness of the SAR database for law enforcement (FinCEN, 2014). The compliance industry has known about this problem for over a decade. The financial incentives of commercial TM vendors have not resolved it because vendor revenue depends on client retention, and clients retain tools that reduce their operational burden regardless of whether detection quality improves.</w:t>
      </w:r>
    </w:p>
    <w:p w14:paraId="4B469CB7" w14:textId="77777777" w:rsidR="001A13D1" w:rsidRPr="001A13D1" w:rsidRDefault="001A13D1" w:rsidP="001A13D1">
      <w:pPr>
        <w:spacing w:before="60" w:after="60"/>
        <w:rPr>
          <w:rFonts w:ascii="Arial" w:hAnsi="Arial" w:cs="Arial"/>
          <w:sz w:val="20"/>
          <w:szCs w:val="20"/>
        </w:rPr>
      </w:pPr>
    </w:p>
    <w:p w14:paraId="6EF6F0AB" w14:textId="56D5FCBD" w:rsidR="001A13D1" w:rsidRPr="001A13D1" w:rsidRDefault="001A13D1" w:rsidP="001A13D1">
      <w:pPr>
        <w:spacing w:before="60" w:after="60"/>
        <w:rPr>
          <w:rFonts w:ascii="Arial" w:hAnsi="Arial" w:cs="Arial"/>
          <w:sz w:val="20"/>
          <w:szCs w:val="20"/>
        </w:rPr>
      </w:pP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attempts to navigate this tension through two specific design choices. First, the anomaly detection layer is designed to surface genuinely suspicious patterns that have no predefined rule </w:t>
      </w:r>
      <w:r w:rsidR="00D4507D">
        <w:rPr>
          <w:rFonts w:ascii="Arial" w:eastAsia="Arial" w:hAnsi="Arial" w:cs="Arial"/>
          <w:sz w:val="20"/>
          <w:szCs w:val="20"/>
        </w:rPr>
        <w:t xml:space="preserve">- </w:t>
      </w:r>
      <w:r w:rsidRPr="001A13D1">
        <w:rPr>
          <w:rFonts w:ascii="Arial" w:eastAsia="Arial" w:hAnsi="Arial" w:cs="Arial"/>
          <w:sz w:val="20"/>
          <w:szCs w:val="20"/>
        </w:rPr>
        <w:t xml:space="preserve">not simply to reduce alert volume. Second, the inter-entity transfer rule was included specifically because it improves genuine detection of layering typologies, even though no regulator requires it and including it increases rather than decreases alert burden. Whether these choices are sufficient to </w:t>
      </w:r>
      <w:r w:rsidRPr="001A13D1">
        <w:rPr>
          <w:rFonts w:ascii="Arial" w:eastAsia="Arial" w:hAnsi="Arial" w:cs="Arial"/>
          <w:sz w:val="20"/>
          <w:szCs w:val="20"/>
        </w:rPr>
        <w:lastRenderedPageBreak/>
        <w:t>serve both perspectives simultaneously is an open question. A commercial product cannot fully resolve this tension. It can only be designed to take it seriously and to be honest when it falls short.</w:t>
      </w:r>
    </w:p>
    <w:p w14:paraId="127BC84F" w14:textId="77777777" w:rsidR="001A13D1" w:rsidRPr="001A13D1" w:rsidRDefault="001A13D1" w:rsidP="001A13D1">
      <w:pPr>
        <w:spacing w:before="60" w:after="60"/>
        <w:rPr>
          <w:rFonts w:ascii="Arial" w:hAnsi="Arial" w:cs="Arial"/>
          <w:sz w:val="20"/>
          <w:szCs w:val="20"/>
        </w:rPr>
      </w:pPr>
    </w:p>
    <w:p w14:paraId="31C03FAA"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Market Sizing and Ability to Pay</w:t>
      </w:r>
    </w:p>
    <w:p w14:paraId="06DD54D2" w14:textId="31BD2047"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The focus on the CCO as paying client was not made purely on values. There is a commercial rationale grounded in market evidence. The private banking AML compliance software market in Asia Pacific is growing at approximately 15 percent compound annual growth rate, driven by increasing regulatory enforcement following high-profile money laundering cases including the 2023 SGD 3 billion investigation in which Julius Baer was penalised (ACAMS, 2025). The CCO at a boutique private bank facing MAS scrutiny has both the budget authority and the professional incentive to pay for a tool that reduces regulatory risk. The ability to pay is real, the urgency is documented by the enforcement record, and the gap in the market</w:t>
      </w:r>
      <w:r w:rsidR="00D4507D">
        <w:rPr>
          <w:rFonts w:ascii="Arial" w:eastAsia="Arial" w:hAnsi="Arial" w:cs="Arial"/>
          <w:sz w:val="20"/>
          <w:szCs w:val="20"/>
        </w:rPr>
        <w:t>,</w:t>
      </w:r>
      <w:r w:rsidRPr="001A13D1">
        <w:rPr>
          <w:rFonts w:ascii="Arial" w:eastAsia="Arial" w:hAnsi="Arial" w:cs="Arial"/>
          <w:sz w:val="20"/>
          <w:szCs w:val="20"/>
        </w:rPr>
        <w:t xml:space="preserve"> jurisdiction-aware tooling for HNWI-focused institutions</w:t>
      </w:r>
      <w:r w:rsidR="00D4507D">
        <w:rPr>
          <w:rFonts w:ascii="Arial" w:eastAsia="Arial" w:hAnsi="Arial" w:cs="Arial"/>
          <w:sz w:val="20"/>
          <w:szCs w:val="20"/>
        </w:rPr>
        <w:t>,</w:t>
      </w:r>
      <w:r w:rsidRPr="001A13D1">
        <w:rPr>
          <w:rFonts w:ascii="Arial" w:eastAsia="Arial" w:hAnsi="Arial" w:cs="Arial"/>
          <w:sz w:val="20"/>
          <w:szCs w:val="20"/>
        </w:rPr>
        <w:t xml:space="preserve"> is not served by incumbent platforms.</w:t>
      </w:r>
    </w:p>
    <w:p w14:paraId="6C65752B" w14:textId="4FEBA7B8" w:rsidR="001A13D1" w:rsidRPr="001A13D1" w:rsidRDefault="001A13D1" w:rsidP="001A13D1">
      <w:pPr>
        <w:spacing w:before="180" w:after="80"/>
        <w:rPr>
          <w:rFonts w:ascii="Arial" w:hAnsi="Arial" w:cs="Arial"/>
          <w:sz w:val="20"/>
          <w:szCs w:val="20"/>
        </w:rPr>
      </w:pPr>
      <w:r w:rsidRPr="001A13D1">
        <w:rPr>
          <w:rFonts w:ascii="Arial" w:eastAsia="Arial" w:hAnsi="Arial" w:cs="Arial"/>
          <w:b/>
          <w:bCs/>
          <w:sz w:val="20"/>
          <w:szCs w:val="20"/>
        </w:rPr>
        <w:t>3. Genuine Risk or Documenting Compliance?</w:t>
      </w:r>
    </w:p>
    <w:p w14:paraId="0B4CF30D" w14:textId="77FA4BA4"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The honest answer is both </w:t>
      </w:r>
      <w:r w:rsidR="00D4507D">
        <w:rPr>
          <w:rFonts w:ascii="Arial" w:eastAsia="Arial" w:hAnsi="Arial" w:cs="Arial"/>
          <w:sz w:val="20"/>
          <w:szCs w:val="20"/>
        </w:rPr>
        <w:t xml:space="preserve">where </w:t>
      </w:r>
      <w:r w:rsidRPr="001A13D1">
        <w:rPr>
          <w:rFonts w:ascii="Arial" w:eastAsia="Arial" w:hAnsi="Arial" w:cs="Arial"/>
          <w:sz w:val="20"/>
          <w:szCs w:val="20"/>
        </w:rPr>
        <w:t>the tension between them was a live design choice throughout the development of the tool.</w:t>
      </w:r>
    </w:p>
    <w:p w14:paraId="2214FA17" w14:textId="77777777" w:rsidR="001A13D1" w:rsidRPr="001A13D1" w:rsidRDefault="001A13D1" w:rsidP="001A13D1">
      <w:pPr>
        <w:spacing w:before="60" w:after="60"/>
        <w:rPr>
          <w:rFonts w:ascii="Arial" w:hAnsi="Arial" w:cs="Arial"/>
          <w:sz w:val="20"/>
          <w:szCs w:val="20"/>
        </w:rPr>
      </w:pPr>
    </w:p>
    <w:p w14:paraId="19CAF8F5"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The Specific Design Choice: Inter-Entity Transfer Rule</w:t>
      </w:r>
    </w:p>
    <w:p w14:paraId="1ABD961D" w14:textId="3662C3F2"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The clearest evidence that </w:t>
      </w:r>
      <w:proofErr w:type="spellStart"/>
      <w:r w:rsidRPr="001A13D1">
        <w:rPr>
          <w:rFonts w:ascii="Arial" w:eastAsia="Arial" w:hAnsi="Arial" w:cs="Arial"/>
          <w:sz w:val="20"/>
          <w:szCs w:val="20"/>
        </w:rPr>
        <w:t>Sentriq</w:t>
      </w:r>
      <w:proofErr w:type="spellEnd"/>
      <w:r w:rsidRPr="001A13D1">
        <w:rPr>
          <w:rFonts w:ascii="Arial" w:eastAsia="Arial" w:hAnsi="Arial" w:cs="Arial"/>
          <w:sz w:val="20"/>
          <w:szCs w:val="20"/>
        </w:rPr>
        <w:t xml:space="preserve"> is designed to measure genuine risk rather than document compliance is Rule 6</w:t>
      </w:r>
      <w:r w:rsidR="00D4507D">
        <w:rPr>
          <w:rFonts w:ascii="Arial" w:eastAsia="Arial" w:hAnsi="Arial" w:cs="Arial"/>
          <w:sz w:val="20"/>
          <w:szCs w:val="20"/>
        </w:rPr>
        <w:t>,</w:t>
      </w:r>
      <w:r w:rsidRPr="001A13D1">
        <w:rPr>
          <w:rFonts w:ascii="Arial" w:eastAsia="Arial" w:hAnsi="Arial" w:cs="Arial"/>
          <w:sz w:val="20"/>
          <w:szCs w:val="20"/>
        </w:rPr>
        <w:t xml:space="preserve"> the inter-entity transfer flag. This rule identifies transfers between accounts sharing a beneficial owner where no commercial rationale is documented: no dividend resolution, no loan agreement, no management fee. It fires on BVI </w:t>
      </w:r>
      <w:proofErr w:type="spellStart"/>
      <w:r w:rsidRPr="001A13D1">
        <w:rPr>
          <w:rFonts w:ascii="Arial" w:eastAsia="Arial" w:hAnsi="Arial" w:cs="Arial"/>
          <w:sz w:val="20"/>
          <w:szCs w:val="20"/>
        </w:rPr>
        <w:t>holdcos</w:t>
      </w:r>
      <w:proofErr w:type="spellEnd"/>
      <w:r w:rsidRPr="001A13D1">
        <w:rPr>
          <w:rFonts w:ascii="Arial" w:eastAsia="Arial" w:hAnsi="Arial" w:cs="Arial"/>
          <w:sz w:val="20"/>
          <w:szCs w:val="20"/>
        </w:rPr>
        <w:t xml:space="preserve"> transferring funds to personal accounts, on trusts distributing to beneficiaries without trustee resolutions, on foundations making grants to unverified parties.</w:t>
      </w:r>
    </w:p>
    <w:p w14:paraId="76349878" w14:textId="77777777" w:rsidR="001A13D1" w:rsidRPr="001A13D1" w:rsidRDefault="001A13D1" w:rsidP="001A13D1">
      <w:pPr>
        <w:spacing w:before="60" w:after="60"/>
        <w:rPr>
          <w:rFonts w:ascii="Arial" w:hAnsi="Arial" w:cs="Arial"/>
          <w:sz w:val="20"/>
          <w:szCs w:val="20"/>
        </w:rPr>
      </w:pPr>
    </w:p>
    <w:p w14:paraId="5ACA2DCD" w14:textId="64859A7E"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Neither FinCEN nor MAS Notice 626 mandates this check. Including it does not reduce the bank's regulatory exposure in any directly measurable </w:t>
      </w:r>
      <w:r w:rsidR="00B52BCC" w:rsidRPr="001A13D1">
        <w:rPr>
          <w:rFonts w:ascii="Arial" w:eastAsia="Arial" w:hAnsi="Arial" w:cs="Arial"/>
          <w:sz w:val="20"/>
          <w:szCs w:val="20"/>
        </w:rPr>
        <w:t>way,</w:t>
      </w:r>
      <w:r w:rsidRPr="001A13D1">
        <w:rPr>
          <w:rFonts w:ascii="Arial" w:eastAsia="Arial" w:hAnsi="Arial" w:cs="Arial"/>
          <w:sz w:val="20"/>
          <w:szCs w:val="20"/>
        </w:rPr>
        <w:t xml:space="preserve"> </w:t>
      </w:r>
      <w:r w:rsidR="00D4507D">
        <w:rPr>
          <w:rFonts w:ascii="Arial" w:eastAsia="Arial" w:hAnsi="Arial" w:cs="Arial"/>
          <w:sz w:val="20"/>
          <w:szCs w:val="20"/>
        </w:rPr>
        <w:t xml:space="preserve">and </w:t>
      </w:r>
      <w:r w:rsidRPr="001A13D1">
        <w:rPr>
          <w:rFonts w:ascii="Arial" w:eastAsia="Arial" w:hAnsi="Arial" w:cs="Arial"/>
          <w:sz w:val="20"/>
          <w:szCs w:val="20"/>
        </w:rPr>
        <w:t>it does not generate a filing that regulators can audit. It was included for one reason only: layering through inter-entity transfers is the primary AML typology for HNWI clients in private banking, and it is entirely invisible to tools that screen transactions at the account level. This is a genuine risk detection choice.</w:t>
      </w:r>
    </w:p>
    <w:p w14:paraId="194BF534" w14:textId="77777777" w:rsidR="001A13D1" w:rsidRPr="001A13D1" w:rsidRDefault="001A13D1" w:rsidP="001A13D1">
      <w:pPr>
        <w:spacing w:before="60" w:after="60"/>
        <w:rPr>
          <w:rFonts w:ascii="Arial" w:hAnsi="Arial" w:cs="Arial"/>
          <w:sz w:val="20"/>
          <w:szCs w:val="20"/>
        </w:rPr>
      </w:pPr>
    </w:p>
    <w:p w14:paraId="120A9CAB" w14:textId="49664CCB" w:rsidR="001A13D1" w:rsidRPr="001A13D1" w:rsidRDefault="001A13D1" w:rsidP="001A13D1">
      <w:pPr>
        <w:spacing w:before="60" w:after="60"/>
        <w:rPr>
          <w:rFonts w:ascii="Arial" w:eastAsia="Arial" w:hAnsi="Arial" w:cs="Arial"/>
          <w:sz w:val="20"/>
          <w:szCs w:val="20"/>
        </w:rPr>
      </w:pPr>
      <w:r w:rsidRPr="001A13D1">
        <w:rPr>
          <w:rFonts w:ascii="Arial" w:eastAsia="Arial" w:hAnsi="Arial" w:cs="Arial"/>
          <w:sz w:val="20"/>
          <w:szCs w:val="20"/>
        </w:rPr>
        <w:t>The counter-</w:t>
      </w:r>
      <w:r w:rsidR="00B52BCC" w:rsidRPr="001A13D1">
        <w:rPr>
          <w:rFonts w:ascii="Arial" w:eastAsia="Arial" w:hAnsi="Arial" w:cs="Arial"/>
          <w:sz w:val="20"/>
          <w:szCs w:val="20"/>
        </w:rPr>
        <w:t>evidence</w:t>
      </w:r>
      <w:r w:rsidR="00B52BCC">
        <w:rPr>
          <w:rFonts w:ascii="Arial" w:eastAsia="Arial" w:hAnsi="Arial" w:cs="Arial"/>
          <w:sz w:val="20"/>
          <w:szCs w:val="20"/>
        </w:rPr>
        <w:t xml:space="preserve">, </w:t>
      </w:r>
      <w:r w:rsidR="00B52BCC" w:rsidRPr="001A13D1">
        <w:rPr>
          <w:rFonts w:ascii="Arial" w:eastAsia="Arial" w:hAnsi="Arial" w:cs="Arial"/>
          <w:sz w:val="20"/>
          <w:szCs w:val="20"/>
        </w:rPr>
        <w:t>the</w:t>
      </w:r>
      <w:r w:rsidRPr="001A13D1">
        <w:rPr>
          <w:rFonts w:ascii="Arial" w:eastAsia="Arial" w:hAnsi="Arial" w:cs="Arial"/>
          <w:sz w:val="20"/>
          <w:szCs w:val="20"/>
        </w:rPr>
        <w:t xml:space="preserve"> feature that risks serving documentation over substance</w:t>
      </w:r>
      <w:r w:rsidR="00D4507D">
        <w:rPr>
          <w:rFonts w:ascii="Arial" w:eastAsia="Arial" w:hAnsi="Arial" w:cs="Arial"/>
          <w:sz w:val="20"/>
          <w:szCs w:val="20"/>
        </w:rPr>
        <w:t>,</w:t>
      </w:r>
      <w:r w:rsidRPr="001A13D1">
        <w:rPr>
          <w:rFonts w:ascii="Arial" w:eastAsia="Arial" w:hAnsi="Arial" w:cs="Arial"/>
          <w:sz w:val="20"/>
          <w:szCs w:val="20"/>
        </w:rPr>
        <w:t xml:space="preserve"> is the combined score threshold. Setting RED at 70 and AMBER at 40 on a synthetic dataset is a calibration choice made without real transaction history. In practice, these thresholds could be gamed: a bank could tune them upward to reduce alert volume and generate fewer filings, not because the risk is lower but because the compliance burden is lighter. This is the design element most at risk of serving documentation rather than detection, and it is the element that most requires recalibration against real data in production.</w:t>
      </w:r>
    </w:p>
    <w:p w14:paraId="52B15E68" w14:textId="059E9F53" w:rsidR="001A13D1" w:rsidRPr="001A13D1" w:rsidRDefault="001A13D1" w:rsidP="001A13D1">
      <w:pPr>
        <w:spacing w:before="180" w:after="80"/>
        <w:rPr>
          <w:rFonts w:ascii="Arial" w:hAnsi="Arial" w:cs="Arial"/>
          <w:sz w:val="20"/>
          <w:szCs w:val="20"/>
        </w:rPr>
      </w:pPr>
      <w:r w:rsidRPr="001A13D1">
        <w:rPr>
          <w:rFonts w:ascii="Arial" w:eastAsia="Arial" w:hAnsi="Arial" w:cs="Arial"/>
          <w:b/>
          <w:bCs/>
          <w:sz w:val="20"/>
          <w:szCs w:val="20"/>
        </w:rPr>
        <w:t>4. Who Bears the Cost if the Tool Gets It Wrong?</w:t>
      </w:r>
    </w:p>
    <w:p w14:paraId="797FA55A"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False Positives</w:t>
      </w:r>
    </w:p>
    <w:p w14:paraId="30F76B47" w14:textId="190C4FCF"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 xml:space="preserve">A </w:t>
      </w:r>
      <w:r w:rsidR="00D4507D" w:rsidRPr="001A13D1">
        <w:rPr>
          <w:rFonts w:ascii="Arial" w:eastAsia="Arial" w:hAnsi="Arial" w:cs="Arial"/>
          <w:sz w:val="20"/>
          <w:szCs w:val="20"/>
        </w:rPr>
        <w:t>false positive flag</w:t>
      </w:r>
      <w:r w:rsidRPr="001A13D1">
        <w:rPr>
          <w:rFonts w:ascii="Arial" w:eastAsia="Arial" w:hAnsi="Arial" w:cs="Arial"/>
          <w:sz w:val="20"/>
          <w:szCs w:val="20"/>
        </w:rPr>
        <w:t xml:space="preserve"> a legitimate transaction as suspicious. In private banking, the cost is not abstract. The HNWI client whose transaction is flagged may face an account review, a request for additional documentation, or in the most serious cases, an exit request — the bank terminating the relationship. The specific stakeholder who bears this cost is the client. The secondary cost falls on the relationship manager, whose client book and revenue are damaged. At Julius Baer specifically, where the bank is already attempting a reputational turnaround following multiple enforcement actions, unnecessary client exits caused by TM over-firing would be commercially and reputationally damaging.</w:t>
      </w:r>
    </w:p>
    <w:p w14:paraId="1EDB46C1" w14:textId="77777777" w:rsidR="001A13D1" w:rsidRPr="001A13D1" w:rsidRDefault="001A13D1" w:rsidP="001A13D1">
      <w:pPr>
        <w:spacing w:before="60" w:after="60"/>
        <w:rPr>
          <w:rFonts w:ascii="Arial" w:hAnsi="Arial" w:cs="Arial"/>
          <w:sz w:val="20"/>
          <w:szCs w:val="20"/>
        </w:rPr>
      </w:pPr>
    </w:p>
    <w:p w14:paraId="5D362A49"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False Negatives</w:t>
      </w:r>
    </w:p>
    <w:p w14:paraId="02011A00" w14:textId="5572F567"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A false negative fails to flag a genuinely suspicious transaction. The cost here falls on multiple stakeholders. The regulator</w:t>
      </w:r>
      <w:r w:rsidR="00D4507D">
        <w:rPr>
          <w:rFonts w:ascii="Arial" w:eastAsia="Arial" w:hAnsi="Arial" w:cs="Arial"/>
          <w:sz w:val="20"/>
          <w:szCs w:val="20"/>
        </w:rPr>
        <w:t>,</w:t>
      </w:r>
      <w:r w:rsidRPr="001A13D1">
        <w:rPr>
          <w:rFonts w:ascii="Arial" w:eastAsia="Arial" w:hAnsi="Arial" w:cs="Arial"/>
          <w:sz w:val="20"/>
          <w:szCs w:val="20"/>
        </w:rPr>
        <w:t xml:space="preserve"> MAS or FinCEN</w:t>
      </w:r>
      <w:r w:rsidR="00D4507D">
        <w:rPr>
          <w:rFonts w:ascii="Arial" w:eastAsia="Arial" w:hAnsi="Arial" w:cs="Arial"/>
          <w:sz w:val="20"/>
          <w:szCs w:val="20"/>
        </w:rPr>
        <w:t>,</w:t>
      </w:r>
      <w:r w:rsidRPr="001A13D1">
        <w:rPr>
          <w:rFonts w:ascii="Arial" w:eastAsia="Arial" w:hAnsi="Arial" w:cs="Arial"/>
          <w:sz w:val="20"/>
          <w:szCs w:val="20"/>
        </w:rPr>
        <w:t xml:space="preserve"> receives no STR or SAR when one should have been filed. If the transaction is later identified as part of a criminal scheme, Julius Baer faces regulatory sanction, potential fine, and reputational damage. In the most serious cases</w:t>
      </w:r>
      <w:r w:rsidR="00D4507D">
        <w:rPr>
          <w:rFonts w:ascii="Arial" w:eastAsia="Arial" w:hAnsi="Arial" w:cs="Arial"/>
          <w:sz w:val="20"/>
          <w:szCs w:val="20"/>
        </w:rPr>
        <w:t>,</w:t>
      </w:r>
      <w:r w:rsidRPr="001A13D1">
        <w:rPr>
          <w:rFonts w:ascii="Arial" w:eastAsia="Arial" w:hAnsi="Arial" w:cs="Arial"/>
          <w:sz w:val="20"/>
          <w:szCs w:val="20"/>
        </w:rPr>
        <w:t xml:space="preserve"> as demonstrated by the 2023 Singapore SGD 3 billion money laundering case in which Julius Baer was penalised</w:t>
      </w:r>
      <w:r w:rsidR="00D4507D">
        <w:rPr>
          <w:rFonts w:ascii="Arial" w:eastAsia="Arial" w:hAnsi="Arial" w:cs="Arial"/>
          <w:sz w:val="20"/>
          <w:szCs w:val="20"/>
        </w:rPr>
        <w:t>,</w:t>
      </w:r>
      <w:r w:rsidRPr="001A13D1">
        <w:rPr>
          <w:rFonts w:ascii="Arial" w:eastAsia="Arial" w:hAnsi="Arial" w:cs="Arial"/>
          <w:sz w:val="20"/>
          <w:szCs w:val="20"/>
        </w:rPr>
        <w:t xml:space="preserve"> the cost extends to the public: criminal proceeds enter the legitimate financial system, law enforcement investigations are hampered, and confidence in Singapore as a clean financial centre is damaged (ACAMS, 2025). The stakeholder bearing the ultimate cost of a false negative is not the bank </w:t>
      </w:r>
      <w:r w:rsidR="00D4507D">
        <w:rPr>
          <w:rFonts w:ascii="Arial" w:eastAsia="Arial" w:hAnsi="Arial" w:cs="Arial"/>
          <w:sz w:val="20"/>
          <w:szCs w:val="20"/>
        </w:rPr>
        <w:t xml:space="preserve">but </w:t>
      </w:r>
      <w:r w:rsidRPr="001A13D1">
        <w:rPr>
          <w:rFonts w:ascii="Arial" w:eastAsia="Arial" w:hAnsi="Arial" w:cs="Arial"/>
          <w:sz w:val="20"/>
          <w:szCs w:val="20"/>
        </w:rPr>
        <w:t>the public.</w:t>
      </w:r>
    </w:p>
    <w:p w14:paraId="7F4F1F8E" w14:textId="77777777" w:rsidR="001A13D1" w:rsidRPr="001A13D1" w:rsidRDefault="001A13D1" w:rsidP="001A13D1">
      <w:pPr>
        <w:spacing w:before="60" w:after="60"/>
        <w:rPr>
          <w:rFonts w:ascii="Arial" w:hAnsi="Arial" w:cs="Arial"/>
          <w:sz w:val="20"/>
          <w:szCs w:val="20"/>
        </w:rPr>
      </w:pPr>
    </w:p>
    <w:p w14:paraId="197A7537"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Performance Drift</w:t>
      </w:r>
    </w:p>
    <w:p w14:paraId="09EF754F" w14:textId="3A00C123" w:rsidR="001A13D1" w:rsidRPr="001A13D1" w:rsidRDefault="001A13D1" w:rsidP="001A13D1">
      <w:pPr>
        <w:spacing w:before="60" w:after="60"/>
        <w:rPr>
          <w:rFonts w:ascii="Arial" w:hAnsi="Arial" w:cs="Arial"/>
          <w:sz w:val="20"/>
          <w:szCs w:val="20"/>
        </w:rPr>
      </w:pPr>
      <w:r w:rsidRPr="001A13D1">
        <w:rPr>
          <w:rFonts w:ascii="Arial" w:eastAsia="Arial" w:hAnsi="Arial" w:cs="Arial"/>
          <w:sz w:val="20"/>
          <w:szCs w:val="20"/>
        </w:rPr>
        <w:t>The Isolation Forest anomaly detection model was trained on synthetic data. As transaction patterns evolve</w:t>
      </w:r>
      <w:r w:rsidR="00D4507D">
        <w:rPr>
          <w:rFonts w:ascii="Arial" w:eastAsia="Arial" w:hAnsi="Arial" w:cs="Arial"/>
          <w:sz w:val="20"/>
          <w:szCs w:val="20"/>
        </w:rPr>
        <w:t xml:space="preserve"> such as</w:t>
      </w:r>
      <w:r w:rsidRPr="001A13D1">
        <w:rPr>
          <w:rFonts w:ascii="Arial" w:eastAsia="Arial" w:hAnsi="Arial" w:cs="Arial"/>
          <w:sz w:val="20"/>
          <w:szCs w:val="20"/>
        </w:rPr>
        <w:t xml:space="preserve"> new typologies emerge, client behaviour changes, regulatory guidance shifts</w:t>
      </w:r>
      <w:r w:rsidR="00D4507D">
        <w:rPr>
          <w:rFonts w:ascii="Arial" w:eastAsia="Arial" w:hAnsi="Arial" w:cs="Arial"/>
          <w:sz w:val="20"/>
          <w:szCs w:val="20"/>
        </w:rPr>
        <w:t>,</w:t>
      </w:r>
      <w:r w:rsidRPr="001A13D1">
        <w:rPr>
          <w:rFonts w:ascii="Arial" w:eastAsia="Arial" w:hAnsi="Arial" w:cs="Arial"/>
          <w:sz w:val="20"/>
          <w:szCs w:val="20"/>
        </w:rPr>
        <w:t xml:space="preserve"> the model's ability to detect anomalies will degrade without retraining. The cost of performance drift is insidious: the tool continues to produce scores and tiers, the bank continues to rely on them, but the underlying model is no longer calibrated to current risk patterns. The stakeholder who bears this cost is the compliance team </w:t>
      </w:r>
      <w:r w:rsidR="00D4507D">
        <w:rPr>
          <w:rFonts w:ascii="Arial" w:eastAsia="Arial" w:hAnsi="Arial" w:cs="Arial"/>
          <w:sz w:val="20"/>
          <w:szCs w:val="20"/>
        </w:rPr>
        <w:t>and</w:t>
      </w:r>
      <w:r w:rsidRPr="001A13D1">
        <w:rPr>
          <w:rFonts w:ascii="Arial" w:eastAsia="Arial" w:hAnsi="Arial" w:cs="Arial"/>
          <w:sz w:val="20"/>
          <w:szCs w:val="20"/>
        </w:rPr>
        <w:t xml:space="preserve"> specifically the MLRO, who is professionally accountable for the adequacy of the bank's AML program and who may not realise the model has drifted until a regulatory inspection reveals missed cases.</w:t>
      </w:r>
    </w:p>
    <w:p w14:paraId="4273FF43" w14:textId="77777777" w:rsidR="001A13D1" w:rsidRPr="001A13D1" w:rsidRDefault="001A13D1" w:rsidP="001A13D1">
      <w:pPr>
        <w:spacing w:before="60" w:after="60"/>
        <w:rPr>
          <w:rFonts w:ascii="Arial" w:hAnsi="Arial" w:cs="Arial"/>
          <w:sz w:val="20"/>
          <w:szCs w:val="20"/>
        </w:rPr>
      </w:pPr>
    </w:p>
    <w:p w14:paraId="77148394" w14:textId="77777777" w:rsidR="001A13D1" w:rsidRPr="001A13D1" w:rsidRDefault="001A13D1" w:rsidP="001A13D1">
      <w:pPr>
        <w:spacing w:before="120" w:after="60"/>
        <w:rPr>
          <w:rFonts w:ascii="Arial" w:hAnsi="Arial" w:cs="Arial"/>
          <w:sz w:val="20"/>
          <w:szCs w:val="20"/>
        </w:rPr>
      </w:pPr>
      <w:r w:rsidRPr="001A13D1">
        <w:rPr>
          <w:rFonts w:ascii="Arial" w:eastAsia="Arial" w:hAnsi="Arial" w:cs="Arial"/>
          <w:b/>
          <w:bCs/>
          <w:sz w:val="20"/>
          <w:szCs w:val="20"/>
        </w:rPr>
        <w:t>Jurisdictional Misconfiguration</w:t>
      </w:r>
    </w:p>
    <w:p w14:paraId="759D914E" w14:textId="672DF24C" w:rsidR="001A13D1" w:rsidRDefault="001A13D1" w:rsidP="001A13D1">
      <w:pPr>
        <w:spacing w:before="60" w:after="60"/>
        <w:rPr>
          <w:rFonts w:ascii="Arial" w:eastAsia="Arial" w:hAnsi="Arial" w:cs="Arial"/>
          <w:sz w:val="20"/>
          <w:szCs w:val="20"/>
        </w:rPr>
      </w:pPr>
      <w:r w:rsidRPr="001A13D1">
        <w:rPr>
          <w:rFonts w:ascii="Arial" w:eastAsia="Arial" w:hAnsi="Arial" w:cs="Arial"/>
          <w:sz w:val="20"/>
          <w:szCs w:val="20"/>
        </w:rPr>
        <w:t>If the JURISDICTION_CONFIG object is updated incorrectly</w:t>
      </w:r>
      <w:r w:rsidR="00D4507D">
        <w:rPr>
          <w:rFonts w:ascii="Arial" w:eastAsia="Arial" w:hAnsi="Arial" w:cs="Arial"/>
          <w:sz w:val="20"/>
          <w:szCs w:val="20"/>
        </w:rPr>
        <w:t xml:space="preserve">, the </w:t>
      </w:r>
      <w:r w:rsidRPr="001A13D1">
        <w:rPr>
          <w:rFonts w:ascii="Arial" w:eastAsia="Arial" w:hAnsi="Arial" w:cs="Arial"/>
          <w:sz w:val="20"/>
          <w:szCs w:val="20"/>
        </w:rPr>
        <w:t>tool will apply incorrect rules silently. There is no error message. The alert tiers will still be produced. The compliance officer will have no way of knowing the underlying config is wrong without an independent audit. The cost falls on the compliance team and ultimately on the bank: regulatory sanctions for applying incorrect jurisdiction logic are a genuine risk, as demonstrated by the 2024 FINMA finding that Julius Baer had bypassed PEP protocols (Global Relay Intelligence, 2025). This is the failure mode that most directly mirrors the real-world failures Julius Baer has already experienced and the one that most requires a formal governance process for config review and versioning in a production deployment.</w:t>
      </w:r>
    </w:p>
    <w:p w14:paraId="4007D12B" w14:textId="77777777" w:rsidR="001A13D1" w:rsidRPr="001A13D1" w:rsidRDefault="001A13D1" w:rsidP="001A13D1">
      <w:pPr>
        <w:spacing w:before="180" w:after="80"/>
        <w:rPr>
          <w:sz w:val="20"/>
          <w:szCs w:val="20"/>
        </w:rPr>
      </w:pPr>
      <w:r w:rsidRPr="001A13D1">
        <w:rPr>
          <w:rFonts w:ascii="Arial" w:eastAsia="Arial" w:hAnsi="Arial" w:cs="Arial"/>
          <w:b/>
          <w:bCs/>
          <w:sz w:val="20"/>
          <w:szCs w:val="20"/>
        </w:rPr>
        <w:t>References</w:t>
      </w:r>
    </w:p>
    <w:p w14:paraId="50F6CE6F" w14:textId="77777777" w:rsidR="001A13D1" w:rsidRPr="001A13D1" w:rsidRDefault="001A13D1" w:rsidP="001A13D1">
      <w:pPr>
        <w:spacing w:before="50" w:after="50" w:line="240" w:lineRule="auto"/>
        <w:rPr>
          <w:rFonts w:ascii="Arial" w:hAnsi="Arial" w:cs="Arial"/>
          <w:sz w:val="20"/>
          <w:szCs w:val="20"/>
        </w:rPr>
      </w:pPr>
      <w:r w:rsidRPr="001A13D1">
        <w:rPr>
          <w:rFonts w:ascii="Arial" w:eastAsia="Arial" w:hAnsi="Arial" w:cs="Arial"/>
          <w:sz w:val="20"/>
          <w:szCs w:val="20"/>
        </w:rPr>
        <w:t xml:space="preserve">ACAMS (2025). </w:t>
      </w:r>
      <w:r w:rsidRPr="001A13D1">
        <w:rPr>
          <w:rFonts w:ascii="Arial" w:eastAsia="Arial" w:hAnsi="Arial" w:cs="Arial"/>
          <w:i/>
          <w:iCs/>
          <w:sz w:val="20"/>
          <w:szCs w:val="20"/>
        </w:rPr>
        <w:t xml:space="preserve">Singapore penalizes Citibank, UBS, and 7 others over USD 2.3 billion money laundering scandal. </w:t>
      </w:r>
      <w:hyperlink r:id="rId5" w:history="1">
        <w:r w:rsidRPr="001A13D1">
          <w:rPr>
            <w:rFonts w:ascii="Arial" w:eastAsia="Arial" w:hAnsi="Arial" w:cs="Arial"/>
            <w:color w:val="2E75B6"/>
            <w:sz w:val="20"/>
            <w:szCs w:val="20"/>
            <w:u w:val="single"/>
          </w:rPr>
          <w:t>https://www.moneylaundering.com/news/singapore-penalizes-9-financial-firms-over-2-3-billion-money-laundering-scandal/</w:t>
        </w:r>
      </w:hyperlink>
    </w:p>
    <w:p w14:paraId="275A4773" w14:textId="77777777" w:rsidR="001A13D1" w:rsidRPr="001A13D1" w:rsidRDefault="001A13D1" w:rsidP="001A13D1">
      <w:pPr>
        <w:spacing w:before="50" w:after="50" w:line="240" w:lineRule="auto"/>
        <w:rPr>
          <w:rFonts w:ascii="Arial" w:hAnsi="Arial" w:cs="Arial"/>
          <w:sz w:val="20"/>
          <w:szCs w:val="20"/>
        </w:rPr>
      </w:pPr>
      <w:r w:rsidRPr="001A13D1">
        <w:rPr>
          <w:rFonts w:ascii="Arial" w:eastAsia="Arial" w:hAnsi="Arial" w:cs="Arial"/>
          <w:sz w:val="20"/>
          <w:szCs w:val="20"/>
        </w:rPr>
        <w:t xml:space="preserve">Financial Crimes Enforcement Network (FinCEN) (2014). </w:t>
      </w:r>
      <w:r w:rsidRPr="001A13D1">
        <w:rPr>
          <w:rFonts w:ascii="Arial" w:eastAsia="Arial" w:hAnsi="Arial" w:cs="Arial"/>
          <w:i/>
          <w:iCs/>
          <w:sz w:val="20"/>
          <w:szCs w:val="20"/>
        </w:rPr>
        <w:t xml:space="preserve">Guidance on preparing a complete and sufficient suspicious activity report narrative. </w:t>
      </w:r>
      <w:hyperlink r:id="rId6" w:history="1">
        <w:r w:rsidRPr="001A13D1">
          <w:rPr>
            <w:rFonts w:ascii="Arial" w:eastAsia="Arial" w:hAnsi="Arial" w:cs="Arial"/>
            <w:color w:val="2E75B6"/>
            <w:sz w:val="20"/>
            <w:szCs w:val="20"/>
            <w:u w:val="single"/>
          </w:rPr>
          <w:t>https://www.fincen.gov/resources/advisories/fincen-guidance-fin-2014-g001</w:t>
        </w:r>
      </w:hyperlink>
    </w:p>
    <w:p w14:paraId="4D73D96C" w14:textId="77777777" w:rsidR="001A13D1" w:rsidRPr="001A13D1" w:rsidRDefault="001A13D1" w:rsidP="001A13D1">
      <w:pPr>
        <w:spacing w:before="50" w:after="50" w:line="240" w:lineRule="auto"/>
        <w:rPr>
          <w:rFonts w:ascii="Arial" w:hAnsi="Arial" w:cs="Arial"/>
          <w:sz w:val="20"/>
          <w:szCs w:val="20"/>
        </w:rPr>
      </w:pPr>
      <w:r w:rsidRPr="001A13D1">
        <w:rPr>
          <w:rFonts w:ascii="Arial" w:eastAsia="Arial" w:hAnsi="Arial" w:cs="Arial"/>
          <w:sz w:val="20"/>
          <w:szCs w:val="20"/>
        </w:rPr>
        <w:t xml:space="preserve">Global Relay Intelligence (2025). </w:t>
      </w:r>
      <w:r w:rsidRPr="001A13D1">
        <w:rPr>
          <w:rFonts w:ascii="Arial" w:eastAsia="Arial" w:hAnsi="Arial" w:cs="Arial"/>
          <w:i/>
          <w:iCs/>
          <w:sz w:val="20"/>
          <w:szCs w:val="20"/>
        </w:rPr>
        <w:t xml:space="preserve">Swiss regulator orders Julius Baer to pay USD 5 million over serious AML violations. </w:t>
      </w:r>
      <w:hyperlink r:id="rId7" w:history="1">
        <w:r w:rsidRPr="001A13D1">
          <w:rPr>
            <w:rFonts w:ascii="Arial" w:eastAsia="Arial" w:hAnsi="Arial" w:cs="Arial"/>
            <w:color w:val="2E75B6"/>
            <w:sz w:val="20"/>
            <w:szCs w:val="20"/>
            <w:u w:val="single"/>
          </w:rPr>
          <w:t>https://www.grip.globalrelay.com/swiss-regulator-orders-julius-baer-to-pay-5m-over-serious-aml-violations/</w:t>
        </w:r>
      </w:hyperlink>
    </w:p>
    <w:p w14:paraId="7068EB7C" w14:textId="77777777" w:rsidR="001A13D1" w:rsidRPr="001A13D1" w:rsidRDefault="001A13D1" w:rsidP="001A13D1">
      <w:pPr>
        <w:spacing w:before="50" w:after="50" w:line="240" w:lineRule="auto"/>
        <w:rPr>
          <w:rFonts w:ascii="Arial" w:hAnsi="Arial" w:cs="Arial"/>
          <w:sz w:val="20"/>
          <w:szCs w:val="20"/>
        </w:rPr>
      </w:pPr>
      <w:r w:rsidRPr="001A13D1">
        <w:rPr>
          <w:rFonts w:ascii="Arial" w:eastAsia="Arial" w:hAnsi="Arial" w:cs="Arial"/>
          <w:sz w:val="20"/>
          <w:szCs w:val="20"/>
        </w:rPr>
        <w:t xml:space="preserve">Monetary Authority of Singapore (2024). </w:t>
      </w:r>
      <w:r w:rsidRPr="001A13D1">
        <w:rPr>
          <w:rFonts w:ascii="Arial" w:eastAsia="Arial" w:hAnsi="Arial" w:cs="Arial"/>
          <w:i/>
          <w:iCs/>
          <w:sz w:val="20"/>
          <w:szCs w:val="20"/>
        </w:rPr>
        <w:t xml:space="preserve">MAS Notice 626: Prevention of money laundering and countering the financing of terrorism. </w:t>
      </w:r>
      <w:hyperlink r:id="rId8" w:history="1">
        <w:r w:rsidRPr="001A13D1">
          <w:rPr>
            <w:rFonts w:ascii="Arial" w:eastAsia="Arial" w:hAnsi="Arial" w:cs="Arial"/>
            <w:color w:val="2E75B6"/>
            <w:sz w:val="20"/>
            <w:szCs w:val="20"/>
            <w:u w:val="single"/>
          </w:rPr>
          <w:t>https://www.mas.gov.sg/regulation/notices/notice-626</w:t>
        </w:r>
      </w:hyperlink>
    </w:p>
    <w:p w14:paraId="041ED96E" w14:textId="77777777" w:rsidR="001A13D1" w:rsidRPr="001A13D1" w:rsidRDefault="001A13D1" w:rsidP="001A13D1">
      <w:pPr>
        <w:spacing w:before="50" w:after="50" w:line="240" w:lineRule="auto"/>
        <w:rPr>
          <w:rFonts w:ascii="Arial" w:hAnsi="Arial" w:cs="Arial"/>
          <w:sz w:val="20"/>
          <w:szCs w:val="20"/>
        </w:rPr>
      </w:pPr>
      <w:r w:rsidRPr="001A13D1">
        <w:rPr>
          <w:rFonts w:ascii="Arial" w:eastAsia="Arial" w:hAnsi="Arial" w:cs="Arial"/>
          <w:sz w:val="20"/>
          <w:szCs w:val="20"/>
        </w:rPr>
        <w:t xml:space="preserve">US Department of Justice (2016). </w:t>
      </w:r>
      <w:r w:rsidRPr="001A13D1">
        <w:rPr>
          <w:rFonts w:ascii="Arial" w:eastAsia="Arial" w:hAnsi="Arial" w:cs="Arial"/>
          <w:i/>
          <w:iCs/>
          <w:sz w:val="20"/>
          <w:szCs w:val="20"/>
        </w:rPr>
        <w:t xml:space="preserve">Swiss bank Julius Baer agrees to pay USD 547 million to resolve US tax evasion charges. </w:t>
      </w:r>
      <w:hyperlink r:id="rId9" w:history="1">
        <w:r w:rsidRPr="001A13D1">
          <w:rPr>
            <w:rFonts w:ascii="Arial" w:eastAsia="Arial" w:hAnsi="Arial" w:cs="Arial"/>
            <w:color w:val="2E75B6"/>
            <w:sz w:val="20"/>
            <w:szCs w:val="20"/>
            <w:u w:val="single"/>
          </w:rPr>
          <w:t>https://www.justice.gov/opa/pr/swiss-bank-julius-baer-agrees-pay-547-million-resolve-us-tax-evasion-charges</w:t>
        </w:r>
      </w:hyperlink>
    </w:p>
    <w:p w14:paraId="75CFCD67" w14:textId="77777777" w:rsidR="001A13D1" w:rsidRPr="001A13D1" w:rsidRDefault="001A13D1" w:rsidP="001A13D1">
      <w:pPr>
        <w:spacing w:before="60" w:after="60"/>
        <w:rPr>
          <w:rFonts w:ascii="Arial" w:hAnsi="Arial" w:cs="Arial"/>
          <w:sz w:val="20"/>
          <w:szCs w:val="20"/>
        </w:rPr>
      </w:pPr>
    </w:p>
    <w:p w14:paraId="2F19DE2E" w14:textId="77777777" w:rsidR="001A13D1" w:rsidRPr="001A13D1" w:rsidRDefault="001A13D1" w:rsidP="00D4507D">
      <w:pPr>
        <w:rPr>
          <w:rFonts w:ascii="Arial" w:hAnsi="Arial" w:cs="Arial"/>
          <w:sz w:val="20"/>
          <w:szCs w:val="20"/>
        </w:rPr>
      </w:pPr>
    </w:p>
    <w:sectPr w:rsidR="001A13D1" w:rsidRPr="001A1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026FC"/>
    <w:multiLevelType w:val="hybridMultilevel"/>
    <w:tmpl w:val="89D07C5E"/>
    <w:lvl w:ilvl="0" w:tplc="AA064FCA">
      <w:start w:val="1"/>
      <w:numFmt w:val="bullet"/>
      <w:lvlText w:val="•"/>
      <w:lvlJc w:val="left"/>
      <w:pPr>
        <w:ind w:left="440" w:hanging="220"/>
      </w:pPr>
    </w:lvl>
    <w:lvl w:ilvl="1" w:tplc="804A3946">
      <w:numFmt w:val="decimal"/>
      <w:lvlText w:val=""/>
      <w:lvlJc w:val="left"/>
    </w:lvl>
    <w:lvl w:ilvl="2" w:tplc="B7886DC4">
      <w:numFmt w:val="decimal"/>
      <w:lvlText w:val=""/>
      <w:lvlJc w:val="left"/>
    </w:lvl>
    <w:lvl w:ilvl="3" w:tplc="6B505FF6">
      <w:numFmt w:val="decimal"/>
      <w:lvlText w:val=""/>
      <w:lvlJc w:val="left"/>
    </w:lvl>
    <w:lvl w:ilvl="4" w:tplc="D5026012">
      <w:numFmt w:val="decimal"/>
      <w:lvlText w:val=""/>
      <w:lvlJc w:val="left"/>
    </w:lvl>
    <w:lvl w:ilvl="5" w:tplc="26A613F0">
      <w:numFmt w:val="decimal"/>
      <w:lvlText w:val=""/>
      <w:lvlJc w:val="left"/>
    </w:lvl>
    <w:lvl w:ilvl="6" w:tplc="325C44D2">
      <w:numFmt w:val="decimal"/>
      <w:lvlText w:val=""/>
      <w:lvlJc w:val="left"/>
    </w:lvl>
    <w:lvl w:ilvl="7" w:tplc="BA0E3880">
      <w:numFmt w:val="decimal"/>
      <w:lvlText w:val=""/>
      <w:lvlJc w:val="left"/>
    </w:lvl>
    <w:lvl w:ilvl="8" w:tplc="E35CBAF8">
      <w:numFmt w:val="decimal"/>
      <w:lvlText w:val=""/>
      <w:lvlJc w:val="left"/>
    </w:lvl>
  </w:abstractNum>
  <w:num w:numId="1" w16cid:durableId="990447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D1"/>
    <w:rsid w:val="001A13D1"/>
    <w:rsid w:val="001E5B9C"/>
    <w:rsid w:val="00232DD3"/>
    <w:rsid w:val="00303651"/>
    <w:rsid w:val="005B67BD"/>
    <w:rsid w:val="0078643A"/>
    <w:rsid w:val="00B52BCC"/>
    <w:rsid w:val="00C82BED"/>
    <w:rsid w:val="00D4507D"/>
    <w:rsid w:val="00DE5C0A"/>
    <w:rsid w:val="00F43D4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316C"/>
  <w15:chartTrackingRefBased/>
  <w15:docId w15:val="{80448BA8-6C68-42CF-973A-D6BB7217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3D1"/>
    <w:rPr>
      <w:rFonts w:eastAsiaTheme="majorEastAsia" w:cstheme="majorBidi"/>
      <w:color w:val="272727" w:themeColor="text1" w:themeTint="D8"/>
    </w:rPr>
  </w:style>
  <w:style w:type="paragraph" w:styleId="Title">
    <w:name w:val="Title"/>
    <w:basedOn w:val="Normal"/>
    <w:next w:val="Normal"/>
    <w:link w:val="TitleChar"/>
    <w:uiPriority w:val="10"/>
    <w:qFormat/>
    <w:rsid w:val="001A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3D1"/>
    <w:pPr>
      <w:spacing w:before="160"/>
      <w:jc w:val="center"/>
    </w:pPr>
    <w:rPr>
      <w:i/>
      <w:iCs/>
      <w:color w:val="404040" w:themeColor="text1" w:themeTint="BF"/>
    </w:rPr>
  </w:style>
  <w:style w:type="character" w:customStyle="1" w:styleId="QuoteChar">
    <w:name w:val="Quote Char"/>
    <w:basedOn w:val="DefaultParagraphFont"/>
    <w:link w:val="Quote"/>
    <w:uiPriority w:val="29"/>
    <w:rsid w:val="001A13D1"/>
    <w:rPr>
      <w:i/>
      <w:iCs/>
      <w:color w:val="404040" w:themeColor="text1" w:themeTint="BF"/>
    </w:rPr>
  </w:style>
  <w:style w:type="paragraph" w:styleId="ListParagraph">
    <w:name w:val="List Paragraph"/>
    <w:basedOn w:val="Normal"/>
    <w:qFormat/>
    <w:rsid w:val="001A13D1"/>
    <w:pPr>
      <w:ind w:left="720"/>
      <w:contextualSpacing/>
    </w:pPr>
  </w:style>
  <w:style w:type="character" w:styleId="IntenseEmphasis">
    <w:name w:val="Intense Emphasis"/>
    <w:basedOn w:val="DefaultParagraphFont"/>
    <w:uiPriority w:val="21"/>
    <w:qFormat/>
    <w:rsid w:val="001A13D1"/>
    <w:rPr>
      <w:i/>
      <w:iCs/>
      <w:color w:val="0F4761" w:themeColor="accent1" w:themeShade="BF"/>
    </w:rPr>
  </w:style>
  <w:style w:type="paragraph" w:styleId="IntenseQuote">
    <w:name w:val="Intense Quote"/>
    <w:basedOn w:val="Normal"/>
    <w:next w:val="Normal"/>
    <w:link w:val="IntenseQuoteChar"/>
    <w:uiPriority w:val="30"/>
    <w:qFormat/>
    <w:rsid w:val="001A1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3D1"/>
    <w:rPr>
      <w:i/>
      <w:iCs/>
      <w:color w:val="0F4761" w:themeColor="accent1" w:themeShade="BF"/>
    </w:rPr>
  </w:style>
  <w:style w:type="character" w:styleId="IntenseReference">
    <w:name w:val="Intense Reference"/>
    <w:basedOn w:val="DefaultParagraphFont"/>
    <w:uiPriority w:val="32"/>
    <w:qFormat/>
    <w:rsid w:val="001A13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s.gov.sg/regulation/notices/notice-626" TargetMode="External"/><Relationship Id="rId3" Type="http://schemas.openxmlformats.org/officeDocument/2006/relationships/settings" Target="settings.xml"/><Relationship Id="rId7" Type="http://schemas.openxmlformats.org/officeDocument/2006/relationships/hyperlink" Target="https://www.grip.globalrelay.com/swiss-regulator-orders-julius-baer-to-pay-5m-over-serious-aml-vio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ncen.gov/resources/advisories/fincen-guidance-fin-2014-g001" TargetMode="External"/><Relationship Id="rId11" Type="http://schemas.openxmlformats.org/officeDocument/2006/relationships/theme" Target="theme/theme1.xml"/><Relationship Id="rId5" Type="http://schemas.openxmlformats.org/officeDocument/2006/relationships/hyperlink" Target="https://www.moneylaundering.com/news/singapore-penalizes-9-financial-firms-over-2-3-billion-money-laundering-scand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ustice.gov/opa/pr/swiss-bank-julius-baer-agrees-pay-547-million-resolve-us-tax-evasion-char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2351</TotalTime>
  <Pages>4</Pages>
  <Words>2080</Words>
  <Characters>11858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#PUA SIN YEE#</dc:creator>
  <cp:keywords/>
  <dc:description/>
  <cp:lastModifiedBy>#PUA SIN YEE#</cp:lastModifiedBy>
  <cp:revision>2</cp:revision>
  <dcterms:created xsi:type="dcterms:W3CDTF">2026-05-18T12:48:00Z</dcterms:created>
  <dcterms:modified xsi:type="dcterms:W3CDTF">2026-05-20T04:07:00Z</dcterms:modified>
</cp:coreProperties>
</file>